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C520C" w:rsidRPr="00466C87" w:rsidRDefault="003C520C" w:rsidP="00D11E39">
      <w:pPr>
        <w:spacing w:before="120" w:after="120" w:line="360" w:lineRule="exact"/>
        <w:jc w:val="center"/>
        <w:rPr>
          <w:rFonts w:ascii="Arial" w:hAnsi="Arial" w:cs="Arial"/>
          <w:sz w:val="22"/>
          <w:szCs w:val="22"/>
          <w:u w:val="single"/>
        </w:rPr>
      </w:pPr>
      <w:r w:rsidRPr="00466C87">
        <w:rPr>
          <w:rFonts w:ascii="Arial" w:hAnsi="Arial" w:cs="Arial"/>
          <w:b/>
          <w:sz w:val="22"/>
          <w:szCs w:val="22"/>
          <w:u w:val="single"/>
        </w:rPr>
        <w:t>PROGRAMA 24KB</w:t>
      </w:r>
    </w:p>
    <w:p w:rsidR="003C520C" w:rsidRPr="00466C87" w:rsidRDefault="003C520C" w:rsidP="00D11E39">
      <w:pPr>
        <w:spacing w:before="120" w:after="120" w:line="360" w:lineRule="exact"/>
        <w:ind w:left="426"/>
        <w:jc w:val="center"/>
        <w:rPr>
          <w:rFonts w:ascii="Arial" w:hAnsi="Arial" w:cs="Arial"/>
          <w:b/>
          <w:sz w:val="22"/>
          <w:szCs w:val="22"/>
        </w:rPr>
      </w:pPr>
    </w:p>
    <w:p w:rsidR="003C520C" w:rsidRPr="00466C87" w:rsidRDefault="003C520C" w:rsidP="00D11E39">
      <w:pPr>
        <w:spacing w:before="120" w:after="120" w:line="360" w:lineRule="exact"/>
        <w:jc w:val="center"/>
        <w:rPr>
          <w:rFonts w:ascii="Arial" w:hAnsi="Arial" w:cs="Arial"/>
          <w:b/>
          <w:sz w:val="22"/>
          <w:szCs w:val="22"/>
          <w:u w:val="single"/>
        </w:rPr>
      </w:pPr>
      <w:r w:rsidRPr="00466C87">
        <w:rPr>
          <w:rFonts w:ascii="Arial" w:hAnsi="Arial" w:cs="Arial"/>
          <w:b/>
          <w:sz w:val="22"/>
          <w:szCs w:val="22"/>
          <w:u w:val="single"/>
        </w:rPr>
        <w:t>C11</w:t>
      </w:r>
      <w:r w:rsidR="00574AF4">
        <w:rPr>
          <w:rFonts w:ascii="Arial" w:hAnsi="Arial" w:cs="Arial"/>
          <w:b/>
          <w:sz w:val="22"/>
          <w:szCs w:val="22"/>
          <w:u w:val="single"/>
        </w:rPr>
        <w:t xml:space="preserve"> </w:t>
      </w:r>
      <w:r w:rsidRPr="00466C87">
        <w:rPr>
          <w:rFonts w:ascii="Arial" w:hAnsi="Arial" w:cs="Arial"/>
          <w:b/>
          <w:sz w:val="22"/>
          <w:szCs w:val="22"/>
          <w:u w:val="single"/>
        </w:rPr>
        <w:t xml:space="preserve">I2 </w:t>
      </w:r>
      <w:r w:rsidR="00574AF4">
        <w:rPr>
          <w:rFonts w:ascii="Arial" w:hAnsi="Arial" w:cs="Arial"/>
          <w:b/>
          <w:sz w:val="22"/>
          <w:szCs w:val="22"/>
          <w:u w:val="single"/>
        </w:rPr>
        <w:t xml:space="preserve">PROYECTOS TRACTORES DE DIGITALIZACIÓN DE LA ADMINISTRACIÓN GENERAL DEL ESTADO </w:t>
      </w:r>
    </w:p>
    <w:p w:rsidR="00736FF9" w:rsidRDefault="00736FF9" w:rsidP="00466C87">
      <w:pPr>
        <w:spacing w:before="120" w:after="120" w:line="360" w:lineRule="exact"/>
        <w:jc w:val="both"/>
        <w:rPr>
          <w:rFonts w:ascii="Arial" w:hAnsi="Arial" w:cs="Arial"/>
          <w:b/>
          <w:sz w:val="22"/>
          <w:szCs w:val="22"/>
        </w:rPr>
      </w:pPr>
    </w:p>
    <w:p w:rsidR="003C520C" w:rsidRPr="00466C87" w:rsidRDefault="00574AF4" w:rsidP="00466C87">
      <w:pPr>
        <w:spacing w:before="120" w:after="120" w:line="360" w:lineRule="exact"/>
        <w:jc w:val="both"/>
        <w:rPr>
          <w:rFonts w:ascii="Arial" w:hAnsi="Arial" w:cs="Arial"/>
          <w:b/>
          <w:sz w:val="22"/>
          <w:szCs w:val="22"/>
        </w:rPr>
      </w:pPr>
      <w:r>
        <w:rPr>
          <w:rFonts w:ascii="Arial" w:hAnsi="Arial" w:cs="Arial"/>
          <w:b/>
          <w:sz w:val="22"/>
          <w:szCs w:val="22"/>
        </w:rPr>
        <w:t>1. DENOMINACIÓN DEL COMPONENTE</w:t>
      </w:r>
      <w:r w:rsidRPr="00466C87">
        <w:rPr>
          <w:rFonts w:ascii="Arial" w:hAnsi="Arial" w:cs="Arial"/>
          <w:b/>
          <w:sz w:val="22"/>
          <w:szCs w:val="22"/>
        </w:rPr>
        <w:t xml:space="preserve"> </w:t>
      </w:r>
    </w:p>
    <w:p w:rsidR="003C520C" w:rsidRPr="00466C87" w:rsidRDefault="003C520C" w:rsidP="00574AF4">
      <w:pPr>
        <w:spacing w:before="120" w:after="120" w:line="360" w:lineRule="exact"/>
        <w:ind w:firstLine="708"/>
        <w:jc w:val="both"/>
        <w:rPr>
          <w:rFonts w:ascii="Arial" w:hAnsi="Arial" w:cs="Arial"/>
          <w:sz w:val="22"/>
          <w:szCs w:val="22"/>
        </w:rPr>
      </w:pPr>
      <w:r w:rsidRPr="00466C87">
        <w:rPr>
          <w:rFonts w:ascii="Arial" w:hAnsi="Arial" w:cs="Arial"/>
          <w:sz w:val="22"/>
          <w:szCs w:val="22"/>
        </w:rPr>
        <w:t>Moderni</w:t>
      </w:r>
      <w:r w:rsidR="00574AF4">
        <w:rPr>
          <w:rFonts w:ascii="Arial" w:hAnsi="Arial" w:cs="Arial"/>
          <w:sz w:val="22"/>
          <w:szCs w:val="22"/>
        </w:rPr>
        <w:t>zación de las Administraciones Pú</w:t>
      </w:r>
      <w:r w:rsidRPr="00466C87">
        <w:rPr>
          <w:rFonts w:ascii="Arial" w:hAnsi="Arial" w:cs="Arial"/>
          <w:sz w:val="22"/>
          <w:szCs w:val="22"/>
        </w:rPr>
        <w:t>blicas</w:t>
      </w:r>
      <w:r w:rsidR="00574AF4">
        <w:rPr>
          <w:rFonts w:ascii="Arial" w:hAnsi="Arial" w:cs="Arial"/>
          <w:sz w:val="22"/>
          <w:szCs w:val="22"/>
        </w:rPr>
        <w:t>.</w:t>
      </w:r>
    </w:p>
    <w:p w:rsidR="003C520C" w:rsidRPr="00466C87" w:rsidRDefault="003C520C" w:rsidP="00466C87">
      <w:pPr>
        <w:spacing w:before="120" w:after="120" w:line="360" w:lineRule="exact"/>
        <w:jc w:val="both"/>
        <w:rPr>
          <w:rFonts w:ascii="Arial" w:hAnsi="Arial" w:cs="Arial"/>
          <w:sz w:val="22"/>
          <w:szCs w:val="22"/>
        </w:rPr>
      </w:pPr>
    </w:p>
    <w:p w:rsidR="003C520C" w:rsidRDefault="003C520C" w:rsidP="00466C87">
      <w:pPr>
        <w:spacing w:before="120" w:after="120" w:line="360" w:lineRule="exact"/>
        <w:jc w:val="both"/>
        <w:rPr>
          <w:rFonts w:ascii="Arial" w:hAnsi="Arial" w:cs="Arial"/>
          <w:b/>
          <w:sz w:val="22"/>
          <w:szCs w:val="22"/>
        </w:rPr>
      </w:pPr>
      <w:r w:rsidRPr="00466C87">
        <w:rPr>
          <w:rFonts w:ascii="Arial" w:hAnsi="Arial" w:cs="Arial"/>
          <w:b/>
          <w:sz w:val="22"/>
          <w:szCs w:val="22"/>
        </w:rPr>
        <w:t xml:space="preserve">2. </w:t>
      </w:r>
      <w:r w:rsidR="00574AF4" w:rsidRPr="00466C87">
        <w:rPr>
          <w:rFonts w:ascii="Arial" w:hAnsi="Arial" w:cs="Arial"/>
          <w:b/>
          <w:sz w:val="22"/>
          <w:szCs w:val="22"/>
        </w:rPr>
        <w:t xml:space="preserve">DESCRIPCIÓN GENERAL DEL </w:t>
      </w:r>
      <w:r w:rsidR="00574AF4">
        <w:rPr>
          <w:rFonts w:ascii="Arial" w:hAnsi="Arial" w:cs="Arial"/>
          <w:b/>
          <w:sz w:val="22"/>
          <w:szCs w:val="22"/>
        </w:rPr>
        <w:t>COMPONENTE</w:t>
      </w:r>
    </w:p>
    <w:p w:rsidR="003C520C" w:rsidRPr="00466C87" w:rsidRDefault="003C520C" w:rsidP="00574AF4">
      <w:pPr>
        <w:spacing w:before="120" w:after="120" w:line="360" w:lineRule="exact"/>
        <w:ind w:firstLine="708"/>
        <w:jc w:val="both"/>
        <w:rPr>
          <w:rFonts w:ascii="Arial" w:hAnsi="Arial" w:cs="Arial"/>
          <w:sz w:val="22"/>
          <w:szCs w:val="22"/>
        </w:rPr>
      </w:pPr>
      <w:r w:rsidRPr="00466C87">
        <w:rPr>
          <w:rFonts w:ascii="Arial" w:hAnsi="Arial" w:cs="Arial"/>
          <w:sz w:val="22"/>
          <w:szCs w:val="22"/>
        </w:rPr>
        <w:t xml:space="preserve">El Componente 11 recoge de forma específica objetivos importantes del Plan de Recuperación, Transformación y Resiliencia como son La modernización del conjunto de agentes del sector público, mediante su digitalización, la renovación de su equipamiento con principios de eficiencia energética, y la modernización de procesos, además de la capacitación del conjunto de empleados públicos. </w:t>
      </w:r>
    </w:p>
    <w:p w:rsidR="00CB24F0" w:rsidRPr="00466C87" w:rsidRDefault="00CB24F0" w:rsidP="00466C87">
      <w:pPr>
        <w:spacing w:before="120" w:after="120" w:line="360" w:lineRule="exact"/>
        <w:jc w:val="both"/>
        <w:rPr>
          <w:rFonts w:ascii="Arial" w:hAnsi="Arial" w:cs="Arial"/>
          <w:sz w:val="22"/>
          <w:szCs w:val="22"/>
        </w:rPr>
      </w:pPr>
    </w:p>
    <w:p w:rsidR="00CB24F0" w:rsidRPr="00D11E39" w:rsidRDefault="00CB24F0" w:rsidP="00466C87">
      <w:pPr>
        <w:spacing w:before="120" w:after="120" w:line="360" w:lineRule="exact"/>
        <w:jc w:val="both"/>
        <w:rPr>
          <w:rFonts w:ascii="Arial" w:hAnsi="Arial" w:cs="Arial"/>
          <w:b/>
          <w:sz w:val="22"/>
          <w:szCs w:val="22"/>
        </w:rPr>
      </w:pPr>
      <w:r w:rsidRPr="00466C87">
        <w:rPr>
          <w:rFonts w:ascii="Arial" w:hAnsi="Arial" w:cs="Arial"/>
          <w:b/>
          <w:sz w:val="22"/>
          <w:szCs w:val="22"/>
        </w:rPr>
        <w:t xml:space="preserve">3. </w:t>
      </w:r>
      <w:r w:rsidR="00574AF4" w:rsidRPr="00466C87">
        <w:rPr>
          <w:rFonts w:ascii="Arial" w:hAnsi="Arial" w:cs="Arial"/>
          <w:b/>
          <w:sz w:val="22"/>
          <w:szCs w:val="22"/>
        </w:rPr>
        <w:t>PRINC</w:t>
      </w:r>
      <w:r w:rsidR="00574AF4">
        <w:rPr>
          <w:rFonts w:ascii="Arial" w:hAnsi="Arial" w:cs="Arial"/>
          <w:b/>
          <w:sz w:val="22"/>
          <w:szCs w:val="22"/>
        </w:rPr>
        <w:t>IPALES OBJETIVOS DEL COMPONENTE</w:t>
      </w:r>
    </w:p>
    <w:p w:rsidR="00CB24F0" w:rsidRPr="00466C87" w:rsidRDefault="00CB24F0" w:rsidP="00574AF4">
      <w:pPr>
        <w:spacing w:before="120" w:after="120" w:line="360" w:lineRule="exact"/>
        <w:ind w:firstLine="708"/>
        <w:jc w:val="both"/>
        <w:rPr>
          <w:rFonts w:ascii="Arial" w:hAnsi="Arial" w:cs="Arial"/>
          <w:sz w:val="22"/>
          <w:szCs w:val="22"/>
        </w:rPr>
      </w:pPr>
      <w:r w:rsidRPr="00466C87">
        <w:rPr>
          <w:rFonts w:ascii="Arial" w:hAnsi="Arial" w:cs="Arial"/>
          <w:sz w:val="22"/>
          <w:szCs w:val="22"/>
        </w:rPr>
        <w:t>Los objetivos estratégicos son del componente 11 son:</w:t>
      </w:r>
    </w:p>
    <w:p w:rsidR="00CB24F0" w:rsidRPr="00466C87" w:rsidRDefault="00CB24F0" w:rsidP="00466C87">
      <w:pPr>
        <w:spacing w:before="120" w:after="120" w:line="360" w:lineRule="exact"/>
        <w:jc w:val="both"/>
        <w:rPr>
          <w:rFonts w:ascii="Arial" w:hAnsi="Arial" w:cs="Arial"/>
          <w:sz w:val="22"/>
          <w:szCs w:val="22"/>
        </w:rPr>
      </w:pPr>
      <w:r w:rsidRPr="00466C87">
        <w:rPr>
          <w:rFonts w:ascii="Arial" w:hAnsi="Arial" w:cs="Arial"/>
          <w:sz w:val="22"/>
          <w:szCs w:val="22"/>
        </w:rPr>
        <w:t>1. Digitalización de la Administración y procesos, tanto a nivel transversal como con cinco proyectos prioritarios en ámbitos estratégicos: justicia, servicios públicos de empleo, datos de salud pública, gestión de consulados y Administración territorial del Estado.</w:t>
      </w:r>
    </w:p>
    <w:p w:rsidR="00CB24F0" w:rsidRPr="00466C87" w:rsidRDefault="00CB24F0" w:rsidP="00466C87">
      <w:pPr>
        <w:spacing w:before="120" w:after="120" w:line="360" w:lineRule="exact"/>
        <w:jc w:val="both"/>
        <w:rPr>
          <w:rFonts w:ascii="Arial" w:hAnsi="Arial" w:cs="Arial"/>
          <w:sz w:val="22"/>
          <w:szCs w:val="22"/>
        </w:rPr>
      </w:pPr>
      <w:r w:rsidRPr="00466C87">
        <w:rPr>
          <w:rFonts w:ascii="Arial" w:hAnsi="Arial" w:cs="Arial"/>
          <w:sz w:val="22"/>
          <w:szCs w:val="22"/>
        </w:rPr>
        <w:t>2. Plan de transición energética en la Administración General del Estado, incluyendo medidas dirigidas hacia el ahorro y eficiencia energética y el compromiso con las energías renovables y movilidad sostenible.</w:t>
      </w:r>
    </w:p>
    <w:p w:rsidR="00CB24F0" w:rsidRPr="00466C87" w:rsidRDefault="00CB24F0" w:rsidP="00466C87">
      <w:pPr>
        <w:spacing w:before="120" w:after="120" w:line="360" w:lineRule="exact"/>
        <w:jc w:val="both"/>
        <w:rPr>
          <w:rFonts w:ascii="Arial" w:hAnsi="Arial" w:cs="Arial"/>
          <w:sz w:val="22"/>
          <w:szCs w:val="22"/>
        </w:rPr>
      </w:pPr>
      <w:r w:rsidRPr="00466C87">
        <w:rPr>
          <w:rFonts w:ascii="Arial" w:hAnsi="Arial" w:cs="Arial"/>
          <w:sz w:val="22"/>
          <w:szCs w:val="22"/>
        </w:rPr>
        <w:t>3. Modernización de las Administraciones Públicas, incluyendo medidas dirigidas hacia la mejora en la gestión administrativa y financiera, reformas normativas en el ámbito del empleo público, un nuevo marco transversal de relaciones interadministrativas, un refuerzo del marco de contratación pública, una reforma de la gobernanza económica y las reformas necesarias para la mejor ejecución y gobernanza del Plan.</w:t>
      </w:r>
    </w:p>
    <w:p w:rsidR="00CB24F0" w:rsidRPr="00466C87" w:rsidRDefault="00CB24F0" w:rsidP="00466C87">
      <w:pPr>
        <w:spacing w:before="120" w:after="120" w:line="360" w:lineRule="exact"/>
        <w:jc w:val="both"/>
        <w:rPr>
          <w:rFonts w:ascii="Arial" w:hAnsi="Arial" w:cs="Arial"/>
          <w:sz w:val="22"/>
          <w:szCs w:val="22"/>
        </w:rPr>
      </w:pPr>
      <w:r w:rsidRPr="00466C87">
        <w:rPr>
          <w:rFonts w:ascii="Arial" w:hAnsi="Arial" w:cs="Arial"/>
          <w:sz w:val="22"/>
          <w:szCs w:val="22"/>
        </w:rPr>
        <w:t xml:space="preserve">4. Refuerzo de las capacidades administrativas, incluyendo medidas dirigidas a reformar las capacidades de las Administraciones Públicas para asegurar la adecuada implementación del Plan, la creación de un sistema de información y gestión integrado del mismo, el desarrollo de </w:t>
      </w:r>
      <w:r w:rsidRPr="00466C87">
        <w:rPr>
          <w:rFonts w:ascii="Arial" w:hAnsi="Arial" w:cs="Arial"/>
          <w:sz w:val="22"/>
          <w:szCs w:val="22"/>
        </w:rPr>
        <w:lastRenderedPageBreak/>
        <w:t>actividades formativas destinadas a las personas involucradas en el desarrollo del Plan y de actividades comunicacionales del mismo para su conocimiento por los distintos posibles partícipes del Plan y de la sociedad en general</w:t>
      </w:r>
    </w:p>
    <w:p w:rsidR="00FB7E0A" w:rsidRPr="00466C87" w:rsidRDefault="00FB7E0A" w:rsidP="00574AF4">
      <w:pPr>
        <w:spacing w:before="120" w:after="120" w:line="360" w:lineRule="exact"/>
        <w:ind w:firstLine="708"/>
        <w:jc w:val="both"/>
        <w:rPr>
          <w:rFonts w:ascii="Arial" w:hAnsi="Arial" w:cs="Arial"/>
          <w:sz w:val="22"/>
          <w:szCs w:val="22"/>
        </w:rPr>
      </w:pPr>
      <w:r w:rsidRPr="00466C87">
        <w:rPr>
          <w:rFonts w:ascii="Arial" w:hAnsi="Arial" w:cs="Arial"/>
          <w:sz w:val="22"/>
          <w:szCs w:val="22"/>
        </w:rPr>
        <w:t>El Servicio Público de Empleo Estatal participa en el Componente 11. I2 como proyecto tractor de digitalización de la Administración General del Estado, en lo relacionado con:</w:t>
      </w:r>
    </w:p>
    <w:p w:rsidR="00FB7E0A" w:rsidRPr="00466C87" w:rsidRDefault="00FB7E0A" w:rsidP="00466C87">
      <w:pPr>
        <w:pStyle w:val="Prrafodelista"/>
        <w:numPr>
          <w:ilvl w:val="0"/>
          <w:numId w:val="2"/>
        </w:numPr>
        <w:spacing w:before="120" w:after="120" w:line="360" w:lineRule="exact"/>
        <w:ind w:left="360" w:hanging="43"/>
        <w:jc w:val="both"/>
        <w:rPr>
          <w:rFonts w:ascii="Arial" w:hAnsi="Arial" w:cs="Arial"/>
          <w:sz w:val="22"/>
          <w:szCs w:val="22"/>
        </w:rPr>
      </w:pPr>
      <w:r w:rsidRPr="00466C87">
        <w:rPr>
          <w:rFonts w:ascii="Arial" w:hAnsi="Arial" w:cs="Arial"/>
          <w:sz w:val="22"/>
          <w:szCs w:val="22"/>
        </w:rPr>
        <w:t xml:space="preserve">Transformación digital en el ámbito de empleo, tanto de las prestaciones como de políticas activas de empleo. </w:t>
      </w:r>
    </w:p>
    <w:p w:rsidR="00164A9E" w:rsidRDefault="00FB7E0A" w:rsidP="00466C87">
      <w:pPr>
        <w:pStyle w:val="Prrafodelista"/>
        <w:numPr>
          <w:ilvl w:val="0"/>
          <w:numId w:val="2"/>
        </w:numPr>
        <w:spacing w:before="120" w:after="120" w:line="360" w:lineRule="exact"/>
        <w:ind w:left="360" w:hanging="43"/>
        <w:jc w:val="both"/>
        <w:rPr>
          <w:rFonts w:ascii="Arial" w:hAnsi="Arial" w:cs="Arial"/>
          <w:sz w:val="22"/>
          <w:szCs w:val="22"/>
        </w:rPr>
      </w:pPr>
      <w:r w:rsidRPr="00466C87">
        <w:rPr>
          <w:rFonts w:ascii="Arial" w:hAnsi="Arial" w:cs="Arial"/>
          <w:sz w:val="22"/>
          <w:szCs w:val="22"/>
        </w:rPr>
        <w:t>Impulso de la interoperabilidad y con una adecuada gestión del dato.</w:t>
      </w:r>
    </w:p>
    <w:p w:rsidR="00736FF9" w:rsidRPr="00D11E39" w:rsidRDefault="00736FF9" w:rsidP="00574AF4">
      <w:pPr>
        <w:pStyle w:val="Prrafodelista"/>
        <w:spacing w:before="120" w:after="120" w:line="360" w:lineRule="exact"/>
        <w:ind w:left="360"/>
        <w:jc w:val="both"/>
        <w:rPr>
          <w:rFonts w:ascii="Arial" w:hAnsi="Arial" w:cs="Arial"/>
          <w:sz w:val="22"/>
          <w:szCs w:val="22"/>
        </w:rPr>
      </w:pPr>
    </w:p>
    <w:p w:rsidR="00164A9E" w:rsidRPr="00466C87" w:rsidRDefault="00574AF4" w:rsidP="00466C87">
      <w:pPr>
        <w:spacing w:before="120" w:after="120" w:line="360" w:lineRule="exact"/>
        <w:jc w:val="both"/>
        <w:rPr>
          <w:rFonts w:ascii="Arial" w:hAnsi="Arial" w:cs="Arial"/>
          <w:b/>
          <w:sz w:val="22"/>
          <w:szCs w:val="22"/>
        </w:rPr>
      </w:pPr>
      <w:r>
        <w:rPr>
          <w:rFonts w:ascii="Arial" w:hAnsi="Arial" w:cs="Arial"/>
          <w:b/>
          <w:sz w:val="22"/>
          <w:szCs w:val="22"/>
        </w:rPr>
        <w:t>4. DESCRIPCIÓN DE LA INVERSIÓN</w:t>
      </w:r>
    </w:p>
    <w:p w:rsidR="00164A9E" w:rsidRPr="00466C87" w:rsidRDefault="00164A9E" w:rsidP="00574AF4">
      <w:pPr>
        <w:spacing w:before="120" w:after="120" w:line="360" w:lineRule="exact"/>
        <w:ind w:firstLine="708"/>
        <w:jc w:val="both"/>
        <w:rPr>
          <w:rFonts w:ascii="Arial" w:eastAsia="Calibri" w:hAnsi="Arial" w:cs="Arial"/>
          <w:color w:val="000000"/>
          <w:sz w:val="22"/>
          <w:szCs w:val="22"/>
          <w:lang w:val="es-ES"/>
        </w:rPr>
      </w:pPr>
      <w:r w:rsidRPr="00466C87">
        <w:rPr>
          <w:rFonts w:ascii="Arial" w:eastAsia="Calibri" w:hAnsi="Arial" w:cs="Arial"/>
          <w:color w:val="000000"/>
          <w:sz w:val="22"/>
          <w:szCs w:val="22"/>
          <w:lang w:val="es-ES"/>
        </w:rPr>
        <w:t xml:space="preserve">Esta ficha contempla los presupuestos MRR de la Secretaría de Estado de Trabajo y Economía Social y del </w:t>
      </w:r>
      <w:r w:rsidR="00E02804" w:rsidRPr="00466C87">
        <w:rPr>
          <w:rFonts w:ascii="Arial" w:eastAsia="Calibri" w:hAnsi="Arial" w:cs="Arial"/>
          <w:color w:val="000000"/>
          <w:sz w:val="22"/>
          <w:szCs w:val="22"/>
          <w:lang w:val="es-ES"/>
        </w:rPr>
        <w:t>O</w:t>
      </w:r>
      <w:r w:rsidRPr="00466C87">
        <w:rPr>
          <w:rFonts w:ascii="Arial" w:eastAsia="Calibri" w:hAnsi="Arial" w:cs="Arial"/>
          <w:color w:val="000000"/>
          <w:sz w:val="22"/>
          <w:szCs w:val="22"/>
          <w:lang w:val="es-ES"/>
        </w:rPr>
        <w:t xml:space="preserve">rganismo </w:t>
      </w:r>
      <w:r w:rsidR="00E02804" w:rsidRPr="00466C87">
        <w:rPr>
          <w:rFonts w:ascii="Arial" w:eastAsia="Calibri" w:hAnsi="Arial" w:cs="Arial"/>
          <w:color w:val="000000"/>
          <w:sz w:val="22"/>
          <w:szCs w:val="22"/>
          <w:lang w:val="es-ES"/>
        </w:rPr>
        <w:t>A</w:t>
      </w:r>
      <w:r w:rsidRPr="00466C87">
        <w:rPr>
          <w:rFonts w:ascii="Arial" w:eastAsia="Calibri" w:hAnsi="Arial" w:cs="Arial"/>
          <w:color w:val="000000"/>
          <w:sz w:val="22"/>
          <w:szCs w:val="22"/>
          <w:lang w:val="es-ES"/>
        </w:rPr>
        <w:t>utónomo S</w:t>
      </w:r>
      <w:r w:rsidR="00E02804" w:rsidRPr="00466C87">
        <w:rPr>
          <w:rFonts w:ascii="Arial" w:eastAsia="Calibri" w:hAnsi="Arial" w:cs="Arial"/>
          <w:color w:val="000000"/>
          <w:sz w:val="22"/>
          <w:szCs w:val="22"/>
          <w:lang w:val="es-ES"/>
        </w:rPr>
        <w:t>ervicio Público de Empleo Estatal</w:t>
      </w:r>
      <w:r w:rsidRPr="00466C87">
        <w:rPr>
          <w:rFonts w:ascii="Arial" w:eastAsia="Calibri" w:hAnsi="Arial" w:cs="Arial"/>
          <w:color w:val="000000"/>
          <w:sz w:val="22"/>
          <w:szCs w:val="22"/>
          <w:lang w:val="es-ES"/>
        </w:rPr>
        <w:t xml:space="preserve"> asociados a la Inversión 2 del Componente 11.</w:t>
      </w:r>
    </w:p>
    <w:p w:rsidR="00164A9E" w:rsidRPr="00466C87" w:rsidRDefault="00164A9E" w:rsidP="00574AF4">
      <w:pPr>
        <w:spacing w:before="120" w:after="120" w:line="360" w:lineRule="exact"/>
        <w:ind w:firstLine="708"/>
        <w:jc w:val="both"/>
        <w:rPr>
          <w:rFonts w:ascii="Arial" w:eastAsia="Calibri" w:hAnsi="Arial" w:cs="Arial"/>
          <w:color w:val="000000"/>
          <w:sz w:val="22"/>
          <w:szCs w:val="22"/>
          <w:lang w:val="es-ES"/>
        </w:rPr>
      </w:pPr>
      <w:r w:rsidRPr="00466C87">
        <w:rPr>
          <w:rFonts w:ascii="Arial" w:eastAsia="Calibri" w:hAnsi="Arial" w:cs="Arial"/>
          <w:color w:val="000000"/>
          <w:sz w:val="22"/>
          <w:szCs w:val="22"/>
          <w:lang w:val="es-ES"/>
        </w:rPr>
        <w:t>En el ámbito de este Ministerio, esta inversión tiene como objetivo la transformación de la totalidad de los servicios relacionados con el empleo para, desde una visión holística, mejorar el servicio que se da a ciudadanos y empresas en todos los ámbitos relacionados. En concreto, la inversión se centrará en los siguientes ámbitos:</w:t>
      </w:r>
    </w:p>
    <w:p w:rsidR="00164A9E" w:rsidRPr="00466C87" w:rsidRDefault="00164A9E" w:rsidP="00466C87">
      <w:pPr>
        <w:numPr>
          <w:ilvl w:val="0"/>
          <w:numId w:val="3"/>
        </w:numPr>
        <w:spacing w:before="120" w:after="120" w:line="360" w:lineRule="exact"/>
        <w:contextualSpacing/>
        <w:jc w:val="both"/>
        <w:rPr>
          <w:rFonts w:ascii="Arial" w:eastAsia="Calibri" w:hAnsi="Arial" w:cs="Arial"/>
          <w:color w:val="000000"/>
          <w:sz w:val="22"/>
          <w:szCs w:val="22"/>
          <w:lang w:val="es-ES"/>
        </w:rPr>
      </w:pPr>
      <w:r w:rsidRPr="00466C87">
        <w:rPr>
          <w:rFonts w:ascii="Arial" w:eastAsia="Calibri" w:hAnsi="Arial" w:cs="Arial"/>
          <w:color w:val="000000"/>
          <w:sz w:val="22"/>
          <w:szCs w:val="22"/>
          <w:lang w:val="es-ES"/>
        </w:rPr>
        <w:t>Reactivación del empleo: mejora de los sistemas de gestión de los Expedientes de Regulación de Empleo.</w:t>
      </w:r>
    </w:p>
    <w:p w:rsidR="00164A9E" w:rsidRPr="00466C87" w:rsidRDefault="00164A9E" w:rsidP="00466C87">
      <w:pPr>
        <w:numPr>
          <w:ilvl w:val="0"/>
          <w:numId w:val="3"/>
        </w:numPr>
        <w:spacing w:before="120" w:after="120" w:line="360" w:lineRule="exact"/>
        <w:contextualSpacing/>
        <w:jc w:val="both"/>
        <w:rPr>
          <w:rFonts w:ascii="Arial" w:eastAsia="Calibri" w:hAnsi="Arial" w:cs="Arial"/>
          <w:color w:val="000000"/>
          <w:sz w:val="22"/>
          <w:szCs w:val="22"/>
          <w:lang w:val="es-ES"/>
        </w:rPr>
      </w:pPr>
      <w:r w:rsidRPr="00466C87">
        <w:rPr>
          <w:rFonts w:ascii="Arial" w:eastAsia="Calibri" w:hAnsi="Arial" w:cs="Arial"/>
          <w:color w:val="000000"/>
          <w:sz w:val="22"/>
          <w:szCs w:val="22"/>
          <w:lang w:val="es-ES"/>
        </w:rPr>
        <w:t>Servicios públicos digitales de empleo: digitalización de todos aquellos servicios públicos que se prestan a ciudadanos y empresas buscando la eficiencia de la Administración y la satisfacción del ciudadano.</w:t>
      </w:r>
    </w:p>
    <w:p w:rsidR="00164A9E" w:rsidRDefault="00164A9E" w:rsidP="00466C87">
      <w:pPr>
        <w:numPr>
          <w:ilvl w:val="0"/>
          <w:numId w:val="3"/>
        </w:numPr>
        <w:spacing w:before="120" w:after="120" w:line="360" w:lineRule="exact"/>
        <w:contextualSpacing/>
        <w:jc w:val="both"/>
        <w:rPr>
          <w:rFonts w:ascii="Arial" w:eastAsia="Calibri" w:hAnsi="Arial" w:cs="Arial"/>
          <w:color w:val="000000"/>
          <w:sz w:val="22"/>
          <w:szCs w:val="22"/>
          <w:lang w:val="es-ES"/>
        </w:rPr>
      </w:pPr>
      <w:r w:rsidRPr="00466C87">
        <w:rPr>
          <w:rFonts w:ascii="Arial" w:eastAsia="Calibri" w:hAnsi="Arial" w:cs="Arial"/>
          <w:color w:val="000000"/>
          <w:sz w:val="22"/>
          <w:szCs w:val="22"/>
          <w:lang w:val="es-ES"/>
        </w:rPr>
        <w:t>Estadísticas y gestión del dato que permita la toma de decisiones con la información suficiente, así como la publicación de información de alto valor para la sociedad.</w:t>
      </w:r>
    </w:p>
    <w:p w:rsidR="00574AF4" w:rsidRPr="00466C87" w:rsidRDefault="00574AF4" w:rsidP="00574AF4">
      <w:pPr>
        <w:spacing w:before="120" w:after="120" w:line="360" w:lineRule="exact"/>
        <w:ind w:left="792"/>
        <w:contextualSpacing/>
        <w:jc w:val="both"/>
        <w:rPr>
          <w:rFonts w:ascii="Arial" w:eastAsia="Calibri" w:hAnsi="Arial" w:cs="Arial"/>
          <w:color w:val="000000"/>
          <w:sz w:val="22"/>
          <w:szCs w:val="22"/>
          <w:lang w:val="es-ES"/>
        </w:rPr>
      </w:pPr>
    </w:p>
    <w:p w:rsidR="00164A9E" w:rsidRPr="00466C87" w:rsidRDefault="00164A9E" w:rsidP="00574AF4">
      <w:pPr>
        <w:spacing w:before="120" w:after="120" w:line="360" w:lineRule="exact"/>
        <w:ind w:firstLine="708"/>
        <w:jc w:val="both"/>
        <w:rPr>
          <w:rFonts w:ascii="Arial" w:eastAsia="Calibri" w:hAnsi="Arial" w:cs="Arial"/>
          <w:color w:val="000000"/>
          <w:sz w:val="22"/>
          <w:szCs w:val="22"/>
          <w:lang w:val="es-ES"/>
        </w:rPr>
      </w:pPr>
      <w:r w:rsidRPr="00466C87">
        <w:rPr>
          <w:rFonts w:ascii="Arial" w:eastAsia="Calibri" w:hAnsi="Arial" w:cs="Arial"/>
          <w:color w:val="000000"/>
          <w:sz w:val="22"/>
          <w:szCs w:val="22"/>
          <w:lang w:val="es-ES"/>
        </w:rPr>
        <w:t>De los 170 millones de euros que el componente contempla para todo el Ministerio de Trabajo y Economía Social, incluyendo sus organismos autónomos, a la Secretaría de Estado le corresponde 6 millones de euros, que se ejecutará entre los años 2022-2023.</w:t>
      </w:r>
    </w:p>
    <w:p w:rsidR="00164A9E" w:rsidRPr="00466C87" w:rsidRDefault="00164A9E" w:rsidP="00574AF4">
      <w:pPr>
        <w:spacing w:before="120" w:after="120" w:line="360" w:lineRule="exact"/>
        <w:ind w:firstLine="708"/>
        <w:jc w:val="both"/>
        <w:rPr>
          <w:rFonts w:ascii="Arial" w:hAnsi="Arial" w:cs="Arial"/>
          <w:sz w:val="22"/>
          <w:szCs w:val="22"/>
        </w:rPr>
      </w:pPr>
      <w:r w:rsidRPr="00466C87">
        <w:rPr>
          <w:rFonts w:ascii="Arial" w:eastAsia="Calibri" w:hAnsi="Arial" w:cs="Arial"/>
          <w:color w:val="000000"/>
          <w:sz w:val="22"/>
          <w:szCs w:val="22"/>
          <w:lang w:val="es-ES"/>
        </w:rPr>
        <w:t xml:space="preserve">Por lo que se refiere al </w:t>
      </w:r>
      <w:r w:rsidR="00FB2672" w:rsidRPr="00466C87">
        <w:rPr>
          <w:rFonts w:ascii="Arial" w:eastAsia="Calibri" w:hAnsi="Arial" w:cs="Arial"/>
          <w:color w:val="000000"/>
          <w:sz w:val="22"/>
          <w:szCs w:val="22"/>
          <w:lang w:val="es-ES"/>
        </w:rPr>
        <w:t>Servicio Público de Empleo Estatal</w:t>
      </w:r>
      <w:r w:rsidRPr="00466C87">
        <w:rPr>
          <w:rFonts w:ascii="Arial" w:eastAsia="Calibri" w:hAnsi="Arial" w:cs="Arial"/>
          <w:color w:val="000000"/>
          <w:sz w:val="22"/>
          <w:szCs w:val="22"/>
          <w:lang w:val="es-ES"/>
        </w:rPr>
        <w:t xml:space="preserve">, la inversión 2 </w:t>
      </w:r>
      <w:r w:rsidR="00E375C8" w:rsidRPr="00466C87">
        <w:rPr>
          <w:rFonts w:ascii="Arial" w:eastAsia="Calibri" w:hAnsi="Arial" w:cs="Arial"/>
          <w:color w:val="000000"/>
          <w:sz w:val="22"/>
          <w:szCs w:val="22"/>
          <w:lang w:val="es-ES"/>
        </w:rPr>
        <w:t>presenta como objetivo</w:t>
      </w:r>
      <w:r w:rsidRPr="00466C87">
        <w:rPr>
          <w:rFonts w:ascii="Arial" w:hAnsi="Arial" w:cs="Arial"/>
          <w:sz w:val="22"/>
          <w:szCs w:val="22"/>
        </w:rPr>
        <w:t xml:space="preserve"> es la transformación de los servicios de empleo en los desarrollos relativos a prestaciones y reactivación de empleo, mejorando la estadística y gestión de los datos, mejorando los servicios públicos digitales en la relación con el ciudadano y fomentando el uso de nuevas infraestructuras de sistemas y comunicaciones que permitan el teletrabajo. En concreto:</w:t>
      </w:r>
    </w:p>
    <w:p w:rsidR="00164A9E" w:rsidRPr="00466C87" w:rsidRDefault="00164A9E" w:rsidP="00466C87">
      <w:pPr>
        <w:pStyle w:val="Prrafodelista"/>
        <w:numPr>
          <w:ilvl w:val="0"/>
          <w:numId w:val="2"/>
        </w:numPr>
        <w:spacing w:before="120" w:after="120" w:line="360" w:lineRule="exact"/>
        <w:ind w:left="360" w:hanging="43"/>
        <w:jc w:val="both"/>
        <w:rPr>
          <w:rFonts w:ascii="Arial" w:hAnsi="Arial" w:cs="Arial"/>
          <w:i/>
          <w:iCs/>
          <w:sz w:val="22"/>
          <w:szCs w:val="22"/>
        </w:rPr>
      </w:pPr>
      <w:r w:rsidRPr="00466C87">
        <w:rPr>
          <w:rFonts w:ascii="Arial" w:hAnsi="Arial" w:cs="Arial"/>
          <w:i/>
          <w:iCs/>
          <w:sz w:val="22"/>
          <w:szCs w:val="22"/>
        </w:rPr>
        <w:lastRenderedPageBreak/>
        <w:t>Modernización de los sistemas de información para la gestión y control de las prestaciones por desempleo: simplificación y automatización en la gestión de las prestaciones por desempleo. Entre otros:</w:t>
      </w:r>
    </w:p>
    <w:p w:rsidR="00164A9E" w:rsidRPr="00466C87" w:rsidRDefault="00164A9E" w:rsidP="00466C87">
      <w:pPr>
        <w:pStyle w:val="Prrafodelista"/>
        <w:numPr>
          <w:ilvl w:val="1"/>
          <w:numId w:val="2"/>
        </w:numPr>
        <w:spacing w:before="120" w:after="120" w:line="360" w:lineRule="exact"/>
        <w:ind w:left="1178" w:hanging="425"/>
        <w:jc w:val="both"/>
        <w:rPr>
          <w:rFonts w:ascii="Arial" w:hAnsi="Arial" w:cs="Arial"/>
          <w:sz w:val="22"/>
          <w:szCs w:val="22"/>
        </w:rPr>
      </w:pPr>
      <w:r w:rsidRPr="00466C87">
        <w:rPr>
          <w:rFonts w:ascii="Arial" w:hAnsi="Arial" w:cs="Arial"/>
          <w:sz w:val="22"/>
          <w:szCs w:val="22"/>
        </w:rPr>
        <w:t>Análisis funcional sobre la mejora de la gestión de las prestaciones y los servicios electrónicos al ciudadano.</w:t>
      </w:r>
    </w:p>
    <w:p w:rsidR="00164A9E" w:rsidRPr="00466C87" w:rsidRDefault="00164A9E" w:rsidP="00466C87">
      <w:pPr>
        <w:pStyle w:val="Prrafodelista"/>
        <w:numPr>
          <w:ilvl w:val="1"/>
          <w:numId w:val="2"/>
        </w:numPr>
        <w:spacing w:before="120" w:after="120" w:line="360" w:lineRule="exact"/>
        <w:ind w:left="1178" w:hanging="425"/>
        <w:jc w:val="both"/>
        <w:rPr>
          <w:rFonts w:ascii="Arial" w:hAnsi="Arial" w:cs="Arial"/>
          <w:sz w:val="22"/>
          <w:szCs w:val="22"/>
        </w:rPr>
      </w:pPr>
      <w:r w:rsidRPr="00466C87">
        <w:rPr>
          <w:rFonts w:ascii="Arial" w:hAnsi="Arial" w:cs="Arial"/>
          <w:sz w:val="22"/>
          <w:szCs w:val="22"/>
        </w:rPr>
        <w:t>Mejora y automatización de los servicios electrónicos ofrecidos al ciudadano y de los sistemas de gestión de las prestaciones por desempleo</w:t>
      </w:r>
    </w:p>
    <w:p w:rsidR="00164A9E" w:rsidRPr="00466C87" w:rsidRDefault="00164A9E" w:rsidP="00466C87">
      <w:pPr>
        <w:pStyle w:val="Prrafodelista"/>
        <w:numPr>
          <w:ilvl w:val="1"/>
          <w:numId w:val="2"/>
        </w:numPr>
        <w:spacing w:before="120" w:after="120" w:line="360" w:lineRule="exact"/>
        <w:ind w:left="1178" w:hanging="425"/>
        <w:jc w:val="both"/>
        <w:rPr>
          <w:rFonts w:ascii="Arial" w:hAnsi="Arial" w:cs="Arial"/>
          <w:sz w:val="22"/>
          <w:szCs w:val="22"/>
        </w:rPr>
      </w:pPr>
      <w:r w:rsidRPr="00466C87">
        <w:rPr>
          <w:rFonts w:ascii="Arial" w:hAnsi="Arial" w:cs="Arial"/>
          <w:sz w:val="22"/>
          <w:szCs w:val="22"/>
        </w:rPr>
        <w:t xml:space="preserve">Nueva arquitectura de desarrollo e interoperabilidad con otros organismos. </w:t>
      </w:r>
    </w:p>
    <w:p w:rsidR="00164A9E" w:rsidRPr="00466C87" w:rsidRDefault="00164A9E" w:rsidP="00466C87">
      <w:pPr>
        <w:pStyle w:val="Prrafodelista"/>
        <w:numPr>
          <w:ilvl w:val="1"/>
          <w:numId w:val="2"/>
        </w:numPr>
        <w:spacing w:before="120" w:after="120" w:line="360" w:lineRule="exact"/>
        <w:ind w:left="1178" w:hanging="425"/>
        <w:jc w:val="both"/>
        <w:rPr>
          <w:rFonts w:ascii="Arial" w:hAnsi="Arial" w:cs="Arial"/>
          <w:sz w:val="22"/>
          <w:szCs w:val="22"/>
        </w:rPr>
      </w:pPr>
      <w:r w:rsidRPr="00466C87">
        <w:rPr>
          <w:rFonts w:ascii="Arial" w:hAnsi="Arial" w:cs="Arial"/>
          <w:sz w:val="22"/>
          <w:szCs w:val="22"/>
        </w:rPr>
        <w:t>Inteligencia del dato en prestaciones.</w:t>
      </w:r>
    </w:p>
    <w:p w:rsidR="00164A9E" w:rsidRPr="00466C87" w:rsidRDefault="00164A9E" w:rsidP="00466C87">
      <w:pPr>
        <w:pStyle w:val="Prrafodelista"/>
        <w:numPr>
          <w:ilvl w:val="0"/>
          <w:numId w:val="2"/>
        </w:numPr>
        <w:spacing w:before="120" w:after="120" w:line="360" w:lineRule="exact"/>
        <w:ind w:left="360" w:hanging="43"/>
        <w:jc w:val="both"/>
        <w:rPr>
          <w:rFonts w:ascii="Arial" w:hAnsi="Arial" w:cs="Arial"/>
          <w:i/>
          <w:iCs/>
          <w:sz w:val="22"/>
          <w:szCs w:val="22"/>
        </w:rPr>
      </w:pPr>
      <w:r w:rsidRPr="00466C87">
        <w:rPr>
          <w:rFonts w:ascii="Arial" w:hAnsi="Arial" w:cs="Arial"/>
          <w:i/>
          <w:iCs/>
          <w:sz w:val="22"/>
          <w:szCs w:val="22"/>
        </w:rPr>
        <w:t>Modernización del Sistema de información de los Servicios Públicos de Empleo</w:t>
      </w:r>
    </w:p>
    <w:p w:rsidR="00164A9E" w:rsidRPr="00466C87" w:rsidRDefault="00164A9E" w:rsidP="00466C87">
      <w:pPr>
        <w:pStyle w:val="Prrafodelista"/>
        <w:numPr>
          <w:ilvl w:val="1"/>
          <w:numId w:val="2"/>
        </w:numPr>
        <w:spacing w:before="120" w:after="120" w:line="360" w:lineRule="exact"/>
        <w:ind w:left="1178" w:hanging="425"/>
        <w:jc w:val="both"/>
        <w:rPr>
          <w:rFonts w:ascii="Arial" w:hAnsi="Arial" w:cs="Arial"/>
          <w:sz w:val="22"/>
          <w:szCs w:val="22"/>
        </w:rPr>
      </w:pPr>
      <w:r w:rsidRPr="00466C87">
        <w:rPr>
          <w:rFonts w:ascii="Arial" w:hAnsi="Arial" w:cs="Arial"/>
          <w:sz w:val="22"/>
          <w:szCs w:val="22"/>
        </w:rPr>
        <w:t>Modernización de los sistemas de gestión de intermediación de empleo.</w:t>
      </w:r>
    </w:p>
    <w:p w:rsidR="00164A9E" w:rsidRPr="00466C87" w:rsidRDefault="00164A9E" w:rsidP="00466C87">
      <w:pPr>
        <w:pStyle w:val="Prrafodelista"/>
        <w:numPr>
          <w:ilvl w:val="1"/>
          <w:numId w:val="2"/>
        </w:numPr>
        <w:spacing w:before="120" w:after="120" w:line="360" w:lineRule="exact"/>
        <w:ind w:left="1178" w:hanging="425"/>
        <w:jc w:val="both"/>
        <w:rPr>
          <w:rFonts w:ascii="Arial" w:hAnsi="Arial" w:cs="Arial"/>
          <w:sz w:val="22"/>
          <w:szCs w:val="22"/>
        </w:rPr>
      </w:pPr>
      <w:r w:rsidRPr="00466C87">
        <w:rPr>
          <w:rFonts w:ascii="Arial" w:hAnsi="Arial" w:cs="Arial"/>
          <w:sz w:val="22"/>
          <w:szCs w:val="22"/>
        </w:rPr>
        <w:t>Mejora de la calidad del dato en los sistemas de información.</w:t>
      </w:r>
    </w:p>
    <w:p w:rsidR="00164A9E" w:rsidRPr="00466C87" w:rsidRDefault="00164A9E" w:rsidP="00466C87">
      <w:pPr>
        <w:pStyle w:val="Prrafodelista"/>
        <w:numPr>
          <w:ilvl w:val="0"/>
          <w:numId w:val="2"/>
        </w:numPr>
        <w:spacing w:before="120" w:after="120" w:line="360" w:lineRule="exact"/>
        <w:ind w:left="360" w:hanging="43"/>
        <w:jc w:val="both"/>
        <w:rPr>
          <w:rFonts w:ascii="Arial" w:hAnsi="Arial" w:cs="Arial"/>
          <w:i/>
          <w:iCs/>
          <w:sz w:val="22"/>
          <w:szCs w:val="22"/>
        </w:rPr>
      </w:pPr>
      <w:r w:rsidRPr="00466C87">
        <w:rPr>
          <w:rFonts w:ascii="Arial" w:hAnsi="Arial" w:cs="Arial"/>
          <w:i/>
          <w:iCs/>
          <w:sz w:val="22"/>
          <w:szCs w:val="22"/>
        </w:rPr>
        <w:t>Modernización de la gestión de las Políticas Activas de Empleo</w:t>
      </w:r>
    </w:p>
    <w:p w:rsidR="00164A9E" w:rsidRPr="00466C87" w:rsidRDefault="00164A9E" w:rsidP="00466C87">
      <w:pPr>
        <w:pStyle w:val="Prrafodelista"/>
        <w:numPr>
          <w:ilvl w:val="1"/>
          <w:numId w:val="2"/>
        </w:numPr>
        <w:spacing w:before="120" w:after="120" w:line="360" w:lineRule="exact"/>
        <w:ind w:left="1178" w:hanging="425"/>
        <w:jc w:val="both"/>
        <w:rPr>
          <w:rFonts w:ascii="Arial" w:hAnsi="Arial" w:cs="Arial"/>
          <w:sz w:val="22"/>
          <w:szCs w:val="22"/>
        </w:rPr>
      </w:pPr>
      <w:r w:rsidRPr="00466C87">
        <w:rPr>
          <w:rFonts w:ascii="Arial" w:hAnsi="Arial" w:cs="Arial"/>
          <w:sz w:val="22"/>
          <w:szCs w:val="22"/>
        </w:rPr>
        <w:t>Mejoras para la activación del empleo y aplicativos relacionados.</w:t>
      </w:r>
    </w:p>
    <w:p w:rsidR="00164A9E" w:rsidRPr="00466C87" w:rsidRDefault="00164A9E" w:rsidP="00466C87">
      <w:pPr>
        <w:pStyle w:val="Prrafodelista"/>
        <w:numPr>
          <w:ilvl w:val="1"/>
          <w:numId w:val="2"/>
        </w:numPr>
        <w:spacing w:before="120" w:after="120" w:line="360" w:lineRule="exact"/>
        <w:ind w:left="1178" w:hanging="425"/>
        <w:jc w:val="both"/>
        <w:rPr>
          <w:rFonts w:ascii="Arial" w:hAnsi="Arial" w:cs="Arial"/>
          <w:sz w:val="22"/>
          <w:szCs w:val="22"/>
        </w:rPr>
      </w:pPr>
      <w:r w:rsidRPr="00466C87">
        <w:rPr>
          <w:rFonts w:ascii="Arial" w:hAnsi="Arial" w:cs="Arial"/>
          <w:sz w:val="22"/>
          <w:szCs w:val="22"/>
        </w:rPr>
        <w:t>Mejoras de los sistemas de formación profesional para el empleo</w:t>
      </w:r>
    </w:p>
    <w:p w:rsidR="00164A9E" w:rsidRPr="00466C87" w:rsidRDefault="00164A9E" w:rsidP="00466C87">
      <w:pPr>
        <w:pStyle w:val="Prrafodelista"/>
        <w:numPr>
          <w:ilvl w:val="1"/>
          <w:numId w:val="2"/>
        </w:numPr>
        <w:spacing w:before="120" w:after="120" w:line="360" w:lineRule="exact"/>
        <w:ind w:left="1178" w:hanging="425"/>
        <w:jc w:val="both"/>
        <w:rPr>
          <w:rFonts w:ascii="Arial" w:hAnsi="Arial" w:cs="Arial"/>
          <w:sz w:val="22"/>
          <w:szCs w:val="22"/>
        </w:rPr>
      </w:pPr>
      <w:r w:rsidRPr="00466C87">
        <w:rPr>
          <w:rFonts w:ascii="Arial" w:hAnsi="Arial" w:cs="Arial"/>
          <w:sz w:val="22"/>
          <w:szCs w:val="22"/>
        </w:rPr>
        <w:t>Nuevas plataformas e-learning y Aula Virtual mejoras para la activación del empleo y aplicativos relacionados.</w:t>
      </w:r>
    </w:p>
    <w:p w:rsidR="00164A9E" w:rsidRPr="00466C87" w:rsidRDefault="00164A9E" w:rsidP="00466C87">
      <w:pPr>
        <w:pStyle w:val="Prrafodelista"/>
        <w:numPr>
          <w:ilvl w:val="0"/>
          <w:numId w:val="2"/>
        </w:numPr>
        <w:spacing w:before="120" w:after="120" w:line="360" w:lineRule="exact"/>
        <w:ind w:left="360" w:hanging="43"/>
        <w:jc w:val="both"/>
        <w:rPr>
          <w:rFonts w:ascii="Arial" w:hAnsi="Arial" w:cs="Arial"/>
          <w:i/>
          <w:iCs/>
          <w:sz w:val="22"/>
          <w:szCs w:val="22"/>
        </w:rPr>
      </w:pPr>
      <w:r w:rsidRPr="00466C87">
        <w:rPr>
          <w:rFonts w:ascii="Arial" w:hAnsi="Arial" w:cs="Arial"/>
          <w:i/>
          <w:iCs/>
          <w:sz w:val="22"/>
          <w:szCs w:val="22"/>
        </w:rPr>
        <w:t xml:space="preserve">Modernización de los puestos de trabajo y de la infraestructura para habilitar el teletrabajo con fiabilidad y seguridad </w:t>
      </w:r>
    </w:p>
    <w:p w:rsidR="00164A9E" w:rsidRPr="00466C87" w:rsidRDefault="00164A9E" w:rsidP="00466C87">
      <w:pPr>
        <w:pStyle w:val="Prrafodelista"/>
        <w:numPr>
          <w:ilvl w:val="1"/>
          <w:numId w:val="2"/>
        </w:numPr>
        <w:spacing w:before="120" w:after="120" w:line="360" w:lineRule="exact"/>
        <w:ind w:left="1178" w:hanging="425"/>
        <w:jc w:val="both"/>
        <w:rPr>
          <w:rFonts w:ascii="Arial" w:hAnsi="Arial" w:cs="Arial"/>
          <w:sz w:val="22"/>
          <w:szCs w:val="22"/>
        </w:rPr>
      </w:pPr>
      <w:r w:rsidRPr="00466C87">
        <w:rPr>
          <w:rFonts w:ascii="Arial" w:hAnsi="Arial" w:cs="Arial"/>
          <w:sz w:val="22"/>
          <w:szCs w:val="22"/>
        </w:rPr>
        <w:t>Digitalización del organismo y los puestos de trabajos y herramientas de colaboración.</w:t>
      </w:r>
    </w:p>
    <w:p w:rsidR="00164A9E" w:rsidRPr="00466C87" w:rsidRDefault="00164A9E" w:rsidP="00466C87">
      <w:pPr>
        <w:pStyle w:val="Prrafodelista"/>
        <w:numPr>
          <w:ilvl w:val="1"/>
          <w:numId w:val="2"/>
        </w:numPr>
        <w:spacing w:before="120" w:after="120" w:line="360" w:lineRule="exact"/>
        <w:ind w:left="1178" w:hanging="425"/>
        <w:jc w:val="both"/>
        <w:rPr>
          <w:rFonts w:ascii="Arial" w:hAnsi="Arial" w:cs="Arial"/>
          <w:sz w:val="22"/>
          <w:szCs w:val="22"/>
        </w:rPr>
      </w:pPr>
      <w:r w:rsidRPr="00466C87">
        <w:rPr>
          <w:rFonts w:ascii="Arial" w:hAnsi="Arial" w:cs="Arial"/>
          <w:sz w:val="22"/>
          <w:szCs w:val="22"/>
        </w:rPr>
        <w:t>Teletrabajo</w:t>
      </w:r>
    </w:p>
    <w:p w:rsidR="00164A9E" w:rsidRPr="00466C87" w:rsidRDefault="00164A9E" w:rsidP="00466C87">
      <w:pPr>
        <w:pStyle w:val="Prrafodelista"/>
        <w:numPr>
          <w:ilvl w:val="1"/>
          <w:numId w:val="2"/>
        </w:numPr>
        <w:spacing w:before="120" w:after="120" w:line="360" w:lineRule="exact"/>
        <w:ind w:left="1178" w:hanging="425"/>
        <w:jc w:val="both"/>
        <w:rPr>
          <w:rFonts w:ascii="Arial" w:hAnsi="Arial" w:cs="Arial"/>
          <w:sz w:val="22"/>
          <w:szCs w:val="22"/>
        </w:rPr>
      </w:pPr>
      <w:r w:rsidRPr="00466C87">
        <w:rPr>
          <w:rFonts w:ascii="Arial" w:hAnsi="Arial" w:cs="Arial"/>
          <w:sz w:val="22"/>
          <w:szCs w:val="22"/>
        </w:rPr>
        <w:t>Infraestructuras de sistemas y comunicaciones</w:t>
      </w:r>
    </w:p>
    <w:p w:rsidR="00164A9E" w:rsidRPr="00466C87" w:rsidRDefault="00164A9E" w:rsidP="00466C87">
      <w:pPr>
        <w:pStyle w:val="Prrafodelista"/>
        <w:numPr>
          <w:ilvl w:val="1"/>
          <w:numId w:val="2"/>
        </w:numPr>
        <w:spacing w:before="120" w:after="120" w:line="360" w:lineRule="exact"/>
        <w:ind w:left="1178" w:hanging="425"/>
        <w:jc w:val="both"/>
        <w:rPr>
          <w:rFonts w:ascii="Arial" w:hAnsi="Arial" w:cs="Arial"/>
          <w:sz w:val="22"/>
          <w:szCs w:val="22"/>
        </w:rPr>
      </w:pPr>
      <w:r w:rsidRPr="00466C87">
        <w:rPr>
          <w:rFonts w:ascii="Arial" w:hAnsi="Arial" w:cs="Arial"/>
          <w:sz w:val="22"/>
          <w:szCs w:val="22"/>
        </w:rPr>
        <w:t>Seguridad</w:t>
      </w:r>
    </w:p>
    <w:p w:rsidR="00164A9E" w:rsidRPr="00466C87" w:rsidRDefault="00164A9E" w:rsidP="00466C87">
      <w:pPr>
        <w:pStyle w:val="Prrafodelista"/>
        <w:numPr>
          <w:ilvl w:val="0"/>
          <w:numId w:val="2"/>
        </w:numPr>
        <w:spacing w:before="120" w:after="120" w:line="360" w:lineRule="exact"/>
        <w:ind w:left="360" w:hanging="43"/>
        <w:jc w:val="both"/>
        <w:rPr>
          <w:rFonts w:ascii="Arial" w:hAnsi="Arial" w:cs="Arial"/>
          <w:i/>
          <w:iCs/>
          <w:sz w:val="22"/>
          <w:szCs w:val="22"/>
        </w:rPr>
      </w:pPr>
      <w:r w:rsidRPr="00466C87">
        <w:rPr>
          <w:rFonts w:ascii="Arial" w:hAnsi="Arial" w:cs="Arial"/>
          <w:i/>
          <w:iCs/>
          <w:sz w:val="22"/>
          <w:szCs w:val="22"/>
        </w:rPr>
        <w:t>Digitalización del modelo de Atención al Ciudadano.</w:t>
      </w:r>
    </w:p>
    <w:p w:rsidR="00164A9E" w:rsidRPr="00466C87" w:rsidRDefault="00164A9E" w:rsidP="00466C87">
      <w:pPr>
        <w:pStyle w:val="Prrafodelista"/>
        <w:numPr>
          <w:ilvl w:val="1"/>
          <w:numId w:val="2"/>
        </w:numPr>
        <w:spacing w:before="120" w:after="120" w:line="360" w:lineRule="exact"/>
        <w:ind w:left="1178" w:hanging="425"/>
        <w:jc w:val="both"/>
        <w:rPr>
          <w:rFonts w:ascii="Arial" w:hAnsi="Arial" w:cs="Arial"/>
          <w:i/>
          <w:iCs/>
          <w:sz w:val="22"/>
          <w:szCs w:val="22"/>
        </w:rPr>
      </w:pPr>
      <w:r w:rsidRPr="00466C87">
        <w:rPr>
          <w:rFonts w:ascii="Arial" w:hAnsi="Arial" w:cs="Arial"/>
          <w:sz w:val="22"/>
          <w:szCs w:val="22"/>
        </w:rPr>
        <w:t>Transformación digital de los procesos de atención a incidencias TIC</w:t>
      </w:r>
    </w:p>
    <w:p w:rsidR="00466C87" w:rsidRPr="00D11E39" w:rsidRDefault="00164A9E" w:rsidP="00D11E39">
      <w:pPr>
        <w:pStyle w:val="Prrafodelista"/>
        <w:numPr>
          <w:ilvl w:val="1"/>
          <w:numId w:val="2"/>
        </w:numPr>
        <w:spacing w:before="120" w:after="120" w:line="360" w:lineRule="exact"/>
        <w:ind w:left="1178" w:hanging="425"/>
        <w:jc w:val="both"/>
        <w:rPr>
          <w:rFonts w:ascii="Arial" w:hAnsi="Arial" w:cs="Arial"/>
          <w:i/>
          <w:iCs/>
          <w:sz w:val="22"/>
          <w:szCs w:val="22"/>
        </w:rPr>
      </w:pPr>
      <w:r w:rsidRPr="00466C87">
        <w:rPr>
          <w:rFonts w:ascii="Arial" w:hAnsi="Arial" w:cs="Arial"/>
          <w:sz w:val="22"/>
          <w:szCs w:val="22"/>
        </w:rPr>
        <w:t>Implantación del nuevo modelo de atención a incidencias en el Servicio Público de Empleo Estatal.</w:t>
      </w:r>
    </w:p>
    <w:p w:rsidR="00466C87" w:rsidRPr="00466C87" w:rsidRDefault="00466C87" w:rsidP="00466C87">
      <w:pPr>
        <w:pStyle w:val="Prrafodelista"/>
        <w:spacing w:before="120" w:after="120" w:line="360" w:lineRule="exact"/>
        <w:ind w:left="1178"/>
        <w:jc w:val="both"/>
        <w:rPr>
          <w:rFonts w:ascii="Arial" w:hAnsi="Arial" w:cs="Arial"/>
          <w:i/>
          <w:iCs/>
          <w:sz w:val="22"/>
          <w:szCs w:val="22"/>
        </w:rPr>
      </w:pPr>
    </w:p>
    <w:p w:rsidR="00164A9E" w:rsidRPr="00574AF4" w:rsidRDefault="00E375C8" w:rsidP="00574AF4">
      <w:pPr>
        <w:spacing w:before="120" w:after="120" w:line="360" w:lineRule="exact"/>
        <w:jc w:val="both"/>
        <w:rPr>
          <w:rFonts w:ascii="Arial" w:hAnsi="Arial" w:cs="Arial"/>
          <w:b/>
          <w:sz w:val="22"/>
          <w:szCs w:val="22"/>
        </w:rPr>
      </w:pPr>
      <w:r w:rsidRPr="00574AF4">
        <w:rPr>
          <w:rFonts w:ascii="Arial" w:hAnsi="Arial" w:cs="Arial"/>
          <w:b/>
          <w:sz w:val="22"/>
          <w:szCs w:val="22"/>
        </w:rPr>
        <w:t xml:space="preserve">5. </w:t>
      </w:r>
      <w:r w:rsidR="00574AF4" w:rsidRPr="00574AF4">
        <w:rPr>
          <w:rFonts w:ascii="Arial" w:hAnsi="Arial" w:cs="Arial"/>
          <w:b/>
          <w:sz w:val="22"/>
          <w:szCs w:val="22"/>
        </w:rPr>
        <w:t>COSTE DE LA INVE</w:t>
      </w:r>
      <w:r w:rsidR="00574AF4">
        <w:rPr>
          <w:rFonts w:ascii="Arial" w:hAnsi="Arial" w:cs="Arial"/>
          <w:b/>
          <w:sz w:val="22"/>
          <w:szCs w:val="22"/>
        </w:rPr>
        <w:t>RSIÓN Y DISTRIBUCIÓN ANUALIZADA</w:t>
      </w:r>
    </w:p>
    <w:p w:rsidR="00164A9E" w:rsidRPr="00E375C8" w:rsidRDefault="00164A9E" w:rsidP="00164A9E">
      <w:pPr>
        <w:spacing w:before="120" w:after="120" w:line="360" w:lineRule="exact"/>
        <w:jc w:val="both"/>
        <w:rPr>
          <w:rFonts w:ascii="Arial" w:hAnsi="Arial" w:cs="Arial"/>
          <w:sz w:val="22"/>
          <w:szCs w:val="22"/>
        </w:rPr>
      </w:pPr>
    </w:p>
    <w:tbl>
      <w:tblPr>
        <w:tblW w:w="9649" w:type="dxa"/>
        <w:jc w:val="center"/>
        <w:tblCellMar>
          <w:left w:w="70" w:type="dxa"/>
          <w:right w:w="70" w:type="dxa"/>
        </w:tblCellMar>
        <w:tblLook w:val="04A0" w:firstRow="1" w:lastRow="0" w:firstColumn="1" w:lastColumn="0" w:noHBand="0" w:noVBand="1"/>
      </w:tblPr>
      <w:tblGrid>
        <w:gridCol w:w="2008"/>
        <w:gridCol w:w="838"/>
        <w:gridCol w:w="1057"/>
        <w:gridCol w:w="1058"/>
        <w:gridCol w:w="1058"/>
        <w:gridCol w:w="839"/>
        <w:gridCol w:w="839"/>
        <w:gridCol w:w="839"/>
        <w:gridCol w:w="1113"/>
      </w:tblGrid>
      <w:tr w:rsidR="00FE6A95" w:rsidRPr="00736FF9" w:rsidTr="00736FF9">
        <w:trPr>
          <w:trHeight w:val="315"/>
          <w:jc w:val="center"/>
        </w:trPr>
        <w:tc>
          <w:tcPr>
            <w:tcW w:w="2008"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E375C8" w:rsidRPr="00736FF9" w:rsidRDefault="00E375C8" w:rsidP="00736FF9">
            <w:pPr>
              <w:rPr>
                <w:rFonts w:ascii="Arial" w:hAnsi="Arial" w:cs="Arial"/>
                <w:b/>
                <w:bCs/>
                <w:color w:val="000000"/>
                <w:sz w:val="18"/>
                <w:szCs w:val="18"/>
                <w:lang w:val="es-ES"/>
              </w:rPr>
            </w:pPr>
            <w:r w:rsidRPr="00736FF9">
              <w:rPr>
                <w:rFonts w:ascii="Arial" w:hAnsi="Arial" w:cs="Arial"/>
                <w:b/>
                <w:bCs/>
                <w:color w:val="000000"/>
                <w:sz w:val="18"/>
                <w:szCs w:val="18"/>
              </w:rPr>
              <w:t>Periodificación</w:t>
            </w:r>
          </w:p>
        </w:tc>
        <w:tc>
          <w:tcPr>
            <w:tcW w:w="838" w:type="dxa"/>
            <w:tcBorders>
              <w:top w:val="single" w:sz="8" w:space="0" w:color="auto"/>
              <w:left w:val="nil"/>
              <w:bottom w:val="single" w:sz="8" w:space="0" w:color="auto"/>
              <w:right w:val="single" w:sz="8" w:space="0" w:color="auto"/>
            </w:tcBorders>
            <w:shd w:val="clear" w:color="auto" w:fill="auto"/>
            <w:vAlign w:val="center"/>
            <w:hideMark/>
          </w:tcPr>
          <w:p w:rsidR="00E375C8" w:rsidRPr="00736FF9" w:rsidRDefault="00E375C8" w:rsidP="00736FF9">
            <w:pPr>
              <w:jc w:val="center"/>
              <w:rPr>
                <w:rFonts w:ascii="Arial" w:hAnsi="Arial" w:cs="Arial"/>
                <w:b/>
                <w:bCs/>
                <w:color w:val="000000"/>
                <w:sz w:val="18"/>
                <w:szCs w:val="18"/>
                <w:lang w:val="es-ES"/>
              </w:rPr>
            </w:pPr>
            <w:r w:rsidRPr="00736FF9">
              <w:rPr>
                <w:rFonts w:ascii="Arial" w:hAnsi="Arial" w:cs="Arial"/>
                <w:b/>
                <w:bCs/>
                <w:color w:val="000000"/>
                <w:sz w:val="18"/>
                <w:szCs w:val="18"/>
              </w:rPr>
              <w:t>2020</w:t>
            </w:r>
          </w:p>
        </w:tc>
        <w:tc>
          <w:tcPr>
            <w:tcW w:w="1057" w:type="dxa"/>
            <w:tcBorders>
              <w:top w:val="single" w:sz="8" w:space="0" w:color="auto"/>
              <w:left w:val="nil"/>
              <w:bottom w:val="single" w:sz="8" w:space="0" w:color="auto"/>
              <w:right w:val="single" w:sz="8" w:space="0" w:color="auto"/>
            </w:tcBorders>
            <w:shd w:val="clear" w:color="auto" w:fill="auto"/>
            <w:vAlign w:val="center"/>
            <w:hideMark/>
          </w:tcPr>
          <w:p w:rsidR="00E375C8" w:rsidRPr="00736FF9" w:rsidRDefault="00E375C8" w:rsidP="00736FF9">
            <w:pPr>
              <w:jc w:val="center"/>
              <w:rPr>
                <w:rFonts w:ascii="Arial" w:hAnsi="Arial" w:cs="Arial"/>
                <w:b/>
                <w:bCs/>
                <w:color w:val="000000"/>
                <w:sz w:val="18"/>
                <w:szCs w:val="18"/>
                <w:lang w:val="es-ES"/>
              </w:rPr>
            </w:pPr>
            <w:r w:rsidRPr="00736FF9">
              <w:rPr>
                <w:rFonts w:ascii="Arial" w:hAnsi="Arial" w:cs="Arial"/>
                <w:b/>
                <w:bCs/>
                <w:color w:val="000000"/>
                <w:sz w:val="18"/>
                <w:szCs w:val="18"/>
              </w:rPr>
              <w:t>2021</w:t>
            </w:r>
          </w:p>
        </w:tc>
        <w:tc>
          <w:tcPr>
            <w:tcW w:w="1058" w:type="dxa"/>
            <w:tcBorders>
              <w:top w:val="single" w:sz="8" w:space="0" w:color="auto"/>
              <w:left w:val="nil"/>
              <w:bottom w:val="single" w:sz="8" w:space="0" w:color="auto"/>
              <w:right w:val="single" w:sz="8" w:space="0" w:color="auto"/>
            </w:tcBorders>
            <w:shd w:val="clear" w:color="auto" w:fill="auto"/>
            <w:vAlign w:val="center"/>
            <w:hideMark/>
          </w:tcPr>
          <w:p w:rsidR="00E375C8" w:rsidRPr="00736FF9" w:rsidRDefault="00E375C8" w:rsidP="00736FF9">
            <w:pPr>
              <w:jc w:val="center"/>
              <w:rPr>
                <w:rFonts w:ascii="Arial" w:hAnsi="Arial" w:cs="Arial"/>
                <w:b/>
                <w:bCs/>
                <w:color w:val="000000"/>
                <w:sz w:val="18"/>
                <w:szCs w:val="18"/>
                <w:lang w:val="es-ES"/>
              </w:rPr>
            </w:pPr>
            <w:r w:rsidRPr="00736FF9">
              <w:rPr>
                <w:rFonts w:ascii="Arial" w:hAnsi="Arial" w:cs="Arial"/>
                <w:b/>
                <w:bCs/>
                <w:color w:val="000000"/>
                <w:sz w:val="18"/>
                <w:szCs w:val="18"/>
              </w:rPr>
              <w:t>2022</w:t>
            </w:r>
          </w:p>
        </w:tc>
        <w:tc>
          <w:tcPr>
            <w:tcW w:w="1058" w:type="dxa"/>
            <w:tcBorders>
              <w:top w:val="single" w:sz="8" w:space="0" w:color="auto"/>
              <w:left w:val="nil"/>
              <w:bottom w:val="single" w:sz="8" w:space="0" w:color="auto"/>
              <w:right w:val="single" w:sz="8" w:space="0" w:color="auto"/>
            </w:tcBorders>
            <w:shd w:val="clear" w:color="auto" w:fill="auto"/>
            <w:vAlign w:val="center"/>
            <w:hideMark/>
          </w:tcPr>
          <w:p w:rsidR="00E375C8" w:rsidRPr="00736FF9" w:rsidRDefault="00E375C8" w:rsidP="00736FF9">
            <w:pPr>
              <w:jc w:val="center"/>
              <w:rPr>
                <w:rFonts w:ascii="Arial" w:hAnsi="Arial" w:cs="Arial"/>
                <w:b/>
                <w:bCs/>
                <w:color w:val="000000"/>
                <w:sz w:val="18"/>
                <w:szCs w:val="18"/>
                <w:lang w:val="es-ES"/>
              </w:rPr>
            </w:pPr>
            <w:r w:rsidRPr="00736FF9">
              <w:rPr>
                <w:rFonts w:ascii="Arial" w:hAnsi="Arial" w:cs="Arial"/>
                <w:b/>
                <w:bCs/>
                <w:color w:val="000000"/>
                <w:sz w:val="18"/>
                <w:szCs w:val="18"/>
              </w:rPr>
              <w:t>2023</w:t>
            </w:r>
          </w:p>
        </w:tc>
        <w:tc>
          <w:tcPr>
            <w:tcW w:w="839" w:type="dxa"/>
            <w:tcBorders>
              <w:top w:val="single" w:sz="8" w:space="0" w:color="auto"/>
              <w:left w:val="nil"/>
              <w:bottom w:val="single" w:sz="8" w:space="0" w:color="auto"/>
              <w:right w:val="single" w:sz="8" w:space="0" w:color="auto"/>
            </w:tcBorders>
            <w:shd w:val="clear" w:color="auto" w:fill="auto"/>
            <w:vAlign w:val="center"/>
            <w:hideMark/>
          </w:tcPr>
          <w:p w:rsidR="00E375C8" w:rsidRPr="00736FF9" w:rsidRDefault="00E375C8" w:rsidP="00736FF9">
            <w:pPr>
              <w:jc w:val="center"/>
              <w:rPr>
                <w:rFonts w:ascii="Arial" w:hAnsi="Arial" w:cs="Arial"/>
                <w:b/>
                <w:bCs/>
                <w:color w:val="000000"/>
                <w:sz w:val="18"/>
                <w:szCs w:val="18"/>
                <w:lang w:val="es-ES"/>
              </w:rPr>
            </w:pPr>
            <w:r w:rsidRPr="00736FF9">
              <w:rPr>
                <w:rFonts w:ascii="Arial" w:hAnsi="Arial" w:cs="Arial"/>
                <w:b/>
                <w:bCs/>
                <w:color w:val="000000"/>
                <w:sz w:val="18"/>
                <w:szCs w:val="18"/>
              </w:rPr>
              <w:t>2024</w:t>
            </w:r>
          </w:p>
        </w:tc>
        <w:tc>
          <w:tcPr>
            <w:tcW w:w="839" w:type="dxa"/>
            <w:tcBorders>
              <w:top w:val="single" w:sz="8" w:space="0" w:color="auto"/>
              <w:left w:val="nil"/>
              <w:bottom w:val="single" w:sz="8" w:space="0" w:color="auto"/>
              <w:right w:val="single" w:sz="8" w:space="0" w:color="auto"/>
            </w:tcBorders>
            <w:shd w:val="clear" w:color="auto" w:fill="auto"/>
            <w:vAlign w:val="center"/>
            <w:hideMark/>
          </w:tcPr>
          <w:p w:rsidR="00E375C8" w:rsidRPr="00736FF9" w:rsidRDefault="00E375C8" w:rsidP="00736FF9">
            <w:pPr>
              <w:jc w:val="center"/>
              <w:rPr>
                <w:rFonts w:ascii="Arial" w:hAnsi="Arial" w:cs="Arial"/>
                <w:b/>
                <w:bCs/>
                <w:color w:val="000000"/>
                <w:sz w:val="18"/>
                <w:szCs w:val="18"/>
                <w:lang w:val="es-ES"/>
              </w:rPr>
            </w:pPr>
            <w:r w:rsidRPr="00736FF9">
              <w:rPr>
                <w:rFonts w:ascii="Arial" w:hAnsi="Arial" w:cs="Arial"/>
                <w:b/>
                <w:bCs/>
                <w:color w:val="000000"/>
                <w:sz w:val="18"/>
                <w:szCs w:val="18"/>
              </w:rPr>
              <w:t>2025</w:t>
            </w:r>
          </w:p>
        </w:tc>
        <w:tc>
          <w:tcPr>
            <w:tcW w:w="839" w:type="dxa"/>
            <w:tcBorders>
              <w:top w:val="single" w:sz="8" w:space="0" w:color="auto"/>
              <w:left w:val="nil"/>
              <w:bottom w:val="single" w:sz="8" w:space="0" w:color="auto"/>
              <w:right w:val="single" w:sz="8" w:space="0" w:color="auto"/>
            </w:tcBorders>
            <w:shd w:val="clear" w:color="auto" w:fill="auto"/>
            <w:vAlign w:val="center"/>
            <w:hideMark/>
          </w:tcPr>
          <w:p w:rsidR="00E375C8" w:rsidRPr="00736FF9" w:rsidRDefault="00E375C8" w:rsidP="00736FF9">
            <w:pPr>
              <w:jc w:val="center"/>
              <w:rPr>
                <w:rFonts w:ascii="Arial" w:hAnsi="Arial" w:cs="Arial"/>
                <w:b/>
                <w:bCs/>
                <w:color w:val="000000"/>
                <w:sz w:val="18"/>
                <w:szCs w:val="18"/>
                <w:lang w:val="es-ES"/>
              </w:rPr>
            </w:pPr>
            <w:r w:rsidRPr="00736FF9">
              <w:rPr>
                <w:rFonts w:ascii="Arial" w:hAnsi="Arial" w:cs="Arial"/>
                <w:b/>
                <w:bCs/>
                <w:color w:val="000000"/>
                <w:sz w:val="18"/>
                <w:szCs w:val="18"/>
              </w:rPr>
              <w:t>2026</w:t>
            </w:r>
          </w:p>
        </w:tc>
        <w:tc>
          <w:tcPr>
            <w:tcW w:w="1113" w:type="dxa"/>
            <w:tcBorders>
              <w:top w:val="single" w:sz="8" w:space="0" w:color="auto"/>
              <w:left w:val="nil"/>
              <w:bottom w:val="single" w:sz="8" w:space="0" w:color="auto"/>
              <w:right w:val="single" w:sz="8" w:space="0" w:color="auto"/>
            </w:tcBorders>
            <w:shd w:val="clear" w:color="auto" w:fill="auto"/>
            <w:vAlign w:val="center"/>
            <w:hideMark/>
          </w:tcPr>
          <w:p w:rsidR="00E375C8" w:rsidRPr="00736FF9" w:rsidRDefault="00E375C8" w:rsidP="00736FF9">
            <w:pPr>
              <w:jc w:val="center"/>
              <w:rPr>
                <w:rFonts w:ascii="Arial" w:hAnsi="Arial" w:cs="Arial"/>
                <w:b/>
                <w:bCs/>
                <w:color w:val="000000"/>
                <w:sz w:val="18"/>
                <w:szCs w:val="18"/>
                <w:lang w:val="es-ES"/>
              </w:rPr>
            </w:pPr>
            <w:r w:rsidRPr="00736FF9">
              <w:rPr>
                <w:rFonts w:ascii="Arial" w:hAnsi="Arial" w:cs="Arial"/>
                <w:b/>
                <w:bCs/>
                <w:color w:val="000000"/>
                <w:sz w:val="18"/>
                <w:szCs w:val="18"/>
              </w:rPr>
              <w:t>Total</w:t>
            </w:r>
          </w:p>
        </w:tc>
      </w:tr>
      <w:tr w:rsidR="00FE6A95" w:rsidRPr="00736FF9" w:rsidTr="00736FF9">
        <w:trPr>
          <w:trHeight w:val="345"/>
          <w:jc w:val="center"/>
        </w:trPr>
        <w:tc>
          <w:tcPr>
            <w:tcW w:w="2008" w:type="dxa"/>
            <w:tcBorders>
              <w:top w:val="nil"/>
              <w:left w:val="single" w:sz="8" w:space="0" w:color="auto"/>
              <w:bottom w:val="single" w:sz="8" w:space="0" w:color="auto"/>
              <w:right w:val="single" w:sz="8" w:space="0" w:color="auto"/>
            </w:tcBorders>
            <w:shd w:val="clear" w:color="auto" w:fill="auto"/>
            <w:vAlign w:val="center"/>
            <w:hideMark/>
          </w:tcPr>
          <w:p w:rsidR="00E375C8" w:rsidRPr="00736FF9" w:rsidRDefault="00E375C8" w:rsidP="00736FF9">
            <w:pPr>
              <w:rPr>
                <w:rFonts w:ascii="Arial" w:hAnsi="Arial" w:cs="Arial"/>
                <w:b/>
                <w:bCs/>
                <w:color w:val="000000"/>
                <w:sz w:val="18"/>
                <w:szCs w:val="18"/>
                <w:lang w:val="es-ES"/>
              </w:rPr>
            </w:pPr>
            <w:r w:rsidRPr="00736FF9">
              <w:rPr>
                <w:rFonts w:ascii="Arial" w:hAnsi="Arial" w:cs="Arial"/>
                <w:b/>
                <w:bCs/>
                <w:color w:val="000000"/>
                <w:sz w:val="18"/>
                <w:szCs w:val="18"/>
              </w:rPr>
              <w:t>Coste del Mecanismo</w:t>
            </w:r>
          </w:p>
        </w:tc>
        <w:tc>
          <w:tcPr>
            <w:tcW w:w="838" w:type="dxa"/>
            <w:tcBorders>
              <w:top w:val="nil"/>
              <w:left w:val="nil"/>
              <w:bottom w:val="single" w:sz="8" w:space="0" w:color="auto"/>
              <w:right w:val="single" w:sz="8" w:space="0" w:color="auto"/>
            </w:tcBorders>
            <w:shd w:val="clear" w:color="auto" w:fill="auto"/>
            <w:vAlign w:val="center"/>
            <w:hideMark/>
          </w:tcPr>
          <w:p w:rsidR="00E375C8" w:rsidRPr="00736FF9" w:rsidRDefault="00E375C8" w:rsidP="00E375C8">
            <w:pPr>
              <w:jc w:val="right"/>
              <w:rPr>
                <w:rFonts w:ascii="Arial" w:hAnsi="Arial" w:cs="Arial"/>
                <w:color w:val="000000"/>
                <w:sz w:val="18"/>
                <w:szCs w:val="18"/>
                <w:lang w:val="es-ES"/>
              </w:rPr>
            </w:pPr>
            <w:r w:rsidRPr="00736FF9">
              <w:rPr>
                <w:rFonts w:ascii="Arial" w:hAnsi="Arial" w:cs="Arial"/>
                <w:noProof/>
                <w:color w:val="000000"/>
                <w:sz w:val="18"/>
                <w:szCs w:val="18"/>
              </w:rPr>
              <w:t>     </w:t>
            </w:r>
          </w:p>
        </w:tc>
        <w:tc>
          <w:tcPr>
            <w:tcW w:w="1057" w:type="dxa"/>
            <w:tcBorders>
              <w:top w:val="nil"/>
              <w:left w:val="nil"/>
              <w:bottom w:val="single" w:sz="8" w:space="0" w:color="auto"/>
              <w:right w:val="single" w:sz="8" w:space="0" w:color="auto"/>
            </w:tcBorders>
            <w:shd w:val="clear" w:color="auto" w:fill="auto"/>
            <w:vAlign w:val="center"/>
            <w:hideMark/>
          </w:tcPr>
          <w:p w:rsidR="00E375C8" w:rsidRPr="00736FF9" w:rsidRDefault="005678FC" w:rsidP="00E375C8">
            <w:pPr>
              <w:jc w:val="right"/>
              <w:rPr>
                <w:rFonts w:ascii="Arial" w:hAnsi="Arial" w:cs="Arial"/>
                <w:color w:val="000000"/>
                <w:sz w:val="18"/>
                <w:szCs w:val="18"/>
                <w:lang w:val="es-ES"/>
              </w:rPr>
            </w:pPr>
            <w:r w:rsidRPr="00736FF9">
              <w:rPr>
                <w:rFonts w:ascii="Arial" w:hAnsi="Arial" w:cs="Arial"/>
                <w:noProof/>
                <w:color w:val="000000"/>
                <w:sz w:val="18"/>
                <w:szCs w:val="18"/>
              </w:rPr>
              <w:t>53</w:t>
            </w:r>
            <w:r w:rsidR="00E375C8" w:rsidRPr="00736FF9">
              <w:rPr>
                <w:rFonts w:ascii="Arial" w:hAnsi="Arial" w:cs="Arial"/>
                <w:noProof/>
                <w:color w:val="000000"/>
                <w:sz w:val="18"/>
                <w:szCs w:val="18"/>
              </w:rPr>
              <w:t>.</w:t>
            </w:r>
            <w:r w:rsidRPr="00736FF9">
              <w:rPr>
                <w:rFonts w:ascii="Arial" w:hAnsi="Arial" w:cs="Arial"/>
                <w:noProof/>
                <w:color w:val="000000"/>
                <w:sz w:val="18"/>
                <w:szCs w:val="18"/>
              </w:rPr>
              <w:t>810</w:t>
            </w:r>
            <w:r w:rsidR="00E375C8" w:rsidRPr="00736FF9">
              <w:rPr>
                <w:rFonts w:ascii="Arial" w:hAnsi="Arial" w:cs="Arial"/>
                <w:noProof/>
                <w:color w:val="000000"/>
                <w:sz w:val="18"/>
                <w:szCs w:val="18"/>
              </w:rPr>
              <w:t>,00</w:t>
            </w:r>
          </w:p>
        </w:tc>
        <w:tc>
          <w:tcPr>
            <w:tcW w:w="1058" w:type="dxa"/>
            <w:tcBorders>
              <w:top w:val="nil"/>
              <w:left w:val="nil"/>
              <w:bottom w:val="single" w:sz="8" w:space="0" w:color="auto"/>
              <w:right w:val="single" w:sz="8" w:space="0" w:color="auto"/>
            </w:tcBorders>
            <w:shd w:val="clear" w:color="auto" w:fill="auto"/>
            <w:vAlign w:val="center"/>
            <w:hideMark/>
          </w:tcPr>
          <w:p w:rsidR="00E375C8" w:rsidRPr="00736FF9" w:rsidRDefault="00736FF9" w:rsidP="00736FF9">
            <w:pPr>
              <w:jc w:val="right"/>
              <w:rPr>
                <w:rFonts w:ascii="Arial" w:hAnsi="Arial" w:cs="Arial"/>
                <w:color w:val="000000"/>
                <w:sz w:val="18"/>
                <w:szCs w:val="18"/>
                <w:lang w:val="es-ES"/>
              </w:rPr>
            </w:pPr>
            <w:r>
              <w:rPr>
                <w:rFonts w:ascii="Arial" w:hAnsi="Arial" w:cs="Arial"/>
                <w:color w:val="000000"/>
                <w:sz w:val="18"/>
                <w:szCs w:val="18"/>
                <w:lang w:val="es-ES"/>
              </w:rPr>
              <w:t>66.601</w:t>
            </w:r>
            <w:r w:rsidR="00E375C8" w:rsidRPr="00736FF9">
              <w:rPr>
                <w:rFonts w:ascii="Arial" w:hAnsi="Arial" w:cs="Arial"/>
                <w:color w:val="000000"/>
                <w:sz w:val="18"/>
                <w:szCs w:val="18"/>
                <w:lang w:val="es-ES"/>
              </w:rPr>
              <w:t>,</w:t>
            </w:r>
            <w:r>
              <w:rPr>
                <w:rFonts w:ascii="Arial" w:hAnsi="Arial" w:cs="Arial"/>
                <w:color w:val="000000"/>
                <w:sz w:val="18"/>
                <w:szCs w:val="18"/>
                <w:lang w:val="es-ES"/>
              </w:rPr>
              <w:t>1</w:t>
            </w:r>
            <w:r w:rsidR="00E375C8" w:rsidRPr="00736FF9">
              <w:rPr>
                <w:rFonts w:ascii="Arial" w:hAnsi="Arial" w:cs="Arial"/>
                <w:color w:val="000000"/>
                <w:sz w:val="18"/>
                <w:szCs w:val="18"/>
                <w:lang w:val="es-ES"/>
              </w:rPr>
              <w:t>0</w:t>
            </w:r>
          </w:p>
        </w:tc>
        <w:tc>
          <w:tcPr>
            <w:tcW w:w="1058" w:type="dxa"/>
            <w:tcBorders>
              <w:top w:val="nil"/>
              <w:left w:val="nil"/>
              <w:bottom w:val="single" w:sz="8" w:space="0" w:color="auto"/>
              <w:right w:val="single" w:sz="8" w:space="0" w:color="auto"/>
            </w:tcBorders>
            <w:shd w:val="clear" w:color="auto" w:fill="auto"/>
            <w:vAlign w:val="center"/>
            <w:hideMark/>
          </w:tcPr>
          <w:p w:rsidR="00E375C8" w:rsidRPr="00736FF9" w:rsidRDefault="00E375C8" w:rsidP="00FE6A95">
            <w:pPr>
              <w:jc w:val="right"/>
              <w:rPr>
                <w:rFonts w:ascii="Arial" w:hAnsi="Arial" w:cs="Arial"/>
                <w:color w:val="000000"/>
                <w:sz w:val="18"/>
                <w:szCs w:val="18"/>
                <w:lang w:val="es-ES"/>
              </w:rPr>
            </w:pPr>
            <w:r w:rsidRPr="00736FF9">
              <w:rPr>
                <w:rFonts w:ascii="Arial" w:hAnsi="Arial" w:cs="Arial"/>
                <w:color w:val="000000"/>
                <w:sz w:val="18"/>
                <w:szCs w:val="18"/>
                <w:lang w:val="es-ES"/>
              </w:rPr>
              <w:t>2</w:t>
            </w:r>
            <w:r w:rsidR="00FE6A95">
              <w:rPr>
                <w:rFonts w:ascii="Arial" w:hAnsi="Arial" w:cs="Arial"/>
                <w:color w:val="000000"/>
                <w:sz w:val="18"/>
                <w:szCs w:val="18"/>
                <w:lang w:val="es-ES"/>
              </w:rPr>
              <w:t>4</w:t>
            </w:r>
            <w:r w:rsidRPr="00736FF9">
              <w:rPr>
                <w:rFonts w:ascii="Arial" w:hAnsi="Arial" w:cs="Arial"/>
                <w:color w:val="000000"/>
                <w:sz w:val="18"/>
                <w:szCs w:val="18"/>
                <w:lang w:val="es-ES"/>
              </w:rPr>
              <w:t>.</w:t>
            </w:r>
            <w:r w:rsidR="00FE6A95">
              <w:rPr>
                <w:rFonts w:ascii="Arial" w:hAnsi="Arial" w:cs="Arial"/>
                <w:color w:val="000000"/>
                <w:sz w:val="18"/>
                <w:szCs w:val="18"/>
                <w:lang w:val="es-ES"/>
              </w:rPr>
              <w:t>168</w:t>
            </w:r>
            <w:r w:rsidRPr="00736FF9">
              <w:rPr>
                <w:rFonts w:ascii="Arial" w:hAnsi="Arial" w:cs="Arial"/>
                <w:color w:val="000000"/>
                <w:sz w:val="18"/>
                <w:szCs w:val="18"/>
                <w:lang w:val="es-ES"/>
              </w:rPr>
              <w:t>,</w:t>
            </w:r>
            <w:r w:rsidR="00FE6A95">
              <w:rPr>
                <w:rFonts w:ascii="Arial" w:hAnsi="Arial" w:cs="Arial"/>
                <w:color w:val="000000"/>
                <w:sz w:val="18"/>
                <w:szCs w:val="18"/>
                <w:lang w:val="es-ES"/>
              </w:rPr>
              <w:t>9</w:t>
            </w:r>
            <w:r w:rsidRPr="00736FF9">
              <w:rPr>
                <w:rFonts w:ascii="Arial" w:hAnsi="Arial" w:cs="Arial"/>
                <w:color w:val="000000"/>
                <w:sz w:val="18"/>
                <w:szCs w:val="18"/>
                <w:lang w:val="es-ES"/>
              </w:rPr>
              <w:t>0</w:t>
            </w:r>
          </w:p>
        </w:tc>
        <w:tc>
          <w:tcPr>
            <w:tcW w:w="839" w:type="dxa"/>
            <w:tcBorders>
              <w:top w:val="nil"/>
              <w:left w:val="nil"/>
              <w:bottom w:val="single" w:sz="8" w:space="0" w:color="auto"/>
              <w:right w:val="single" w:sz="8" w:space="0" w:color="auto"/>
            </w:tcBorders>
            <w:shd w:val="clear" w:color="auto" w:fill="auto"/>
            <w:vAlign w:val="center"/>
            <w:hideMark/>
          </w:tcPr>
          <w:p w:rsidR="00E375C8" w:rsidRPr="00736FF9" w:rsidRDefault="00E375C8" w:rsidP="00E375C8">
            <w:pPr>
              <w:jc w:val="right"/>
              <w:rPr>
                <w:rFonts w:ascii="Arial" w:hAnsi="Arial" w:cs="Arial"/>
                <w:color w:val="000000"/>
                <w:sz w:val="18"/>
                <w:szCs w:val="18"/>
                <w:lang w:val="es-ES"/>
              </w:rPr>
            </w:pPr>
            <w:r w:rsidRPr="00736FF9">
              <w:rPr>
                <w:rFonts w:ascii="Arial" w:hAnsi="Arial" w:cs="Arial"/>
                <w:color w:val="000000"/>
                <w:sz w:val="18"/>
                <w:szCs w:val="18"/>
                <w:lang w:val="es-ES"/>
              </w:rPr>
              <w:t> </w:t>
            </w:r>
          </w:p>
        </w:tc>
        <w:tc>
          <w:tcPr>
            <w:tcW w:w="839" w:type="dxa"/>
            <w:tcBorders>
              <w:top w:val="nil"/>
              <w:left w:val="nil"/>
              <w:bottom w:val="single" w:sz="8" w:space="0" w:color="auto"/>
              <w:right w:val="single" w:sz="8" w:space="0" w:color="auto"/>
            </w:tcBorders>
            <w:shd w:val="clear" w:color="auto" w:fill="auto"/>
            <w:vAlign w:val="center"/>
            <w:hideMark/>
          </w:tcPr>
          <w:p w:rsidR="00E375C8" w:rsidRPr="00736FF9" w:rsidRDefault="00E375C8" w:rsidP="00E375C8">
            <w:pPr>
              <w:jc w:val="right"/>
              <w:rPr>
                <w:rFonts w:ascii="Arial" w:hAnsi="Arial" w:cs="Arial"/>
                <w:color w:val="000000"/>
                <w:sz w:val="18"/>
                <w:szCs w:val="18"/>
                <w:lang w:val="es-ES"/>
              </w:rPr>
            </w:pPr>
            <w:r w:rsidRPr="00736FF9">
              <w:rPr>
                <w:rFonts w:ascii="Arial" w:hAnsi="Arial" w:cs="Arial"/>
                <w:color w:val="000000"/>
                <w:sz w:val="18"/>
                <w:szCs w:val="18"/>
                <w:lang w:val="es-ES"/>
              </w:rPr>
              <w:t> </w:t>
            </w:r>
          </w:p>
        </w:tc>
        <w:tc>
          <w:tcPr>
            <w:tcW w:w="839" w:type="dxa"/>
            <w:tcBorders>
              <w:top w:val="nil"/>
              <w:left w:val="nil"/>
              <w:bottom w:val="single" w:sz="8" w:space="0" w:color="auto"/>
              <w:right w:val="single" w:sz="8" w:space="0" w:color="auto"/>
            </w:tcBorders>
            <w:shd w:val="clear" w:color="auto" w:fill="auto"/>
            <w:vAlign w:val="center"/>
            <w:hideMark/>
          </w:tcPr>
          <w:p w:rsidR="00E375C8" w:rsidRPr="00736FF9" w:rsidRDefault="00E375C8" w:rsidP="00E375C8">
            <w:pPr>
              <w:jc w:val="right"/>
              <w:rPr>
                <w:rFonts w:ascii="Arial" w:hAnsi="Arial" w:cs="Arial"/>
                <w:color w:val="000000"/>
                <w:sz w:val="18"/>
                <w:szCs w:val="18"/>
                <w:lang w:val="es-ES"/>
              </w:rPr>
            </w:pPr>
            <w:r w:rsidRPr="00736FF9">
              <w:rPr>
                <w:rFonts w:ascii="Arial" w:hAnsi="Arial" w:cs="Arial"/>
                <w:color w:val="000000"/>
                <w:sz w:val="18"/>
                <w:szCs w:val="18"/>
                <w:lang w:val="es-ES"/>
              </w:rPr>
              <w:t> </w:t>
            </w:r>
          </w:p>
        </w:tc>
        <w:tc>
          <w:tcPr>
            <w:tcW w:w="1113" w:type="dxa"/>
            <w:tcBorders>
              <w:top w:val="nil"/>
              <w:left w:val="nil"/>
              <w:bottom w:val="single" w:sz="8" w:space="0" w:color="auto"/>
              <w:right w:val="single" w:sz="8" w:space="0" w:color="auto"/>
            </w:tcBorders>
            <w:shd w:val="clear" w:color="auto" w:fill="auto"/>
            <w:vAlign w:val="center"/>
            <w:hideMark/>
          </w:tcPr>
          <w:p w:rsidR="00E375C8" w:rsidRPr="00736FF9" w:rsidRDefault="00E375C8" w:rsidP="00FE6A95">
            <w:pPr>
              <w:jc w:val="right"/>
              <w:rPr>
                <w:rFonts w:ascii="Arial" w:hAnsi="Arial" w:cs="Arial"/>
                <w:color w:val="000000"/>
                <w:sz w:val="18"/>
                <w:szCs w:val="18"/>
                <w:lang w:val="es-ES"/>
              </w:rPr>
            </w:pPr>
            <w:r w:rsidRPr="00736FF9">
              <w:rPr>
                <w:rFonts w:ascii="Arial" w:hAnsi="Arial" w:cs="Arial"/>
                <w:color w:val="000000"/>
                <w:sz w:val="18"/>
                <w:szCs w:val="18"/>
                <w:lang w:val="es-ES"/>
              </w:rPr>
              <w:t>14</w:t>
            </w:r>
            <w:r w:rsidR="00FE6A95">
              <w:rPr>
                <w:rFonts w:ascii="Arial" w:hAnsi="Arial" w:cs="Arial"/>
                <w:color w:val="000000"/>
                <w:sz w:val="18"/>
                <w:szCs w:val="18"/>
                <w:lang w:val="es-ES"/>
              </w:rPr>
              <w:t>4</w:t>
            </w:r>
            <w:r w:rsidRPr="00736FF9">
              <w:rPr>
                <w:rFonts w:ascii="Arial" w:hAnsi="Arial" w:cs="Arial"/>
                <w:color w:val="000000"/>
                <w:sz w:val="18"/>
                <w:szCs w:val="18"/>
                <w:lang w:val="es-ES"/>
              </w:rPr>
              <w:t>.</w:t>
            </w:r>
            <w:r w:rsidR="00FE6A95">
              <w:rPr>
                <w:rFonts w:ascii="Arial" w:hAnsi="Arial" w:cs="Arial"/>
                <w:color w:val="000000"/>
                <w:sz w:val="18"/>
                <w:szCs w:val="18"/>
                <w:lang w:val="es-ES"/>
              </w:rPr>
              <w:t>580</w:t>
            </w:r>
            <w:r w:rsidRPr="00736FF9">
              <w:rPr>
                <w:rFonts w:ascii="Arial" w:hAnsi="Arial" w:cs="Arial"/>
                <w:color w:val="000000"/>
                <w:sz w:val="18"/>
                <w:szCs w:val="18"/>
                <w:lang w:val="es-ES"/>
              </w:rPr>
              <w:t>,</w:t>
            </w:r>
            <w:r w:rsidR="00FE6A95">
              <w:rPr>
                <w:rFonts w:ascii="Arial" w:hAnsi="Arial" w:cs="Arial"/>
                <w:color w:val="000000"/>
                <w:sz w:val="18"/>
                <w:szCs w:val="18"/>
                <w:lang w:val="es-ES"/>
              </w:rPr>
              <w:t>0</w:t>
            </w:r>
            <w:r w:rsidRPr="00736FF9">
              <w:rPr>
                <w:rFonts w:ascii="Arial" w:hAnsi="Arial" w:cs="Arial"/>
                <w:color w:val="000000"/>
                <w:sz w:val="18"/>
                <w:szCs w:val="18"/>
                <w:lang w:val="es-ES"/>
              </w:rPr>
              <w:t>0</w:t>
            </w:r>
          </w:p>
        </w:tc>
      </w:tr>
      <w:tr w:rsidR="00FE6A95" w:rsidRPr="00736FF9" w:rsidTr="00736FF9">
        <w:trPr>
          <w:trHeight w:val="345"/>
          <w:jc w:val="center"/>
        </w:trPr>
        <w:tc>
          <w:tcPr>
            <w:tcW w:w="2008" w:type="dxa"/>
            <w:tcBorders>
              <w:top w:val="nil"/>
              <w:left w:val="single" w:sz="8" w:space="0" w:color="auto"/>
              <w:bottom w:val="single" w:sz="8" w:space="0" w:color="auto"/>
              <w:right w:val="single" w:sz="8" w:space="0" w:color="auto"/>
            </w:tcBorders>
            <w:shd w:val="clear" w:color="auto" w:fill="auto"/>
            <w:vAlign w:val="center"/>
            <w:hideMark/>
          </w:tcPr>
          <w:p w:rsidR="00E375C8" w:rsidRPr="00736FF9" w:rsidRDefault="00E375C8" w:rsidP="00736FF9">
            <w:pPr>
              <w:rPr>
                <w:rFonts w:ascii="Arial" w:hAnsi="Arial" w:cs="Arial"/>
                <w:b/>
                <w:bCs/>
                <w:color w:val="000000"/>
                <w:sz w:val="18"/>
                <w:szCs w:val="18"/>
                <w:lang w:val="es-ES"/>
              </w:rPr>
            </w:pPr>
            <w:r w:rsidRPr="00736FF9">
              <w:rPr>
                <w:rFonts w:ascii="Arial" w:hAnsi="Arial" w:cs="Arial"/>
                <w:b/>
                <w:bCs/>
                <w:color w:val="000000"/>
                <w:sz w:val="18"/>
                <w:szCs w:val="18"/>
              </w:rPr>
              <w:t>Otra financiación</w:t>
            </w:r>
          </w:p>
        </w:tc>
        <w:tc>
          <w:tcPr>
            <w:tcW w:w="838" w:type="dxa"/>
            <w:tcBorders>
              <w:top w:val="nil"/>
              <w:left w:val="nil"/>
              <w:bottom w:val="single" w:sz="8" w:space="0" w:color="auto"/>
              <w:right w:val="single" w:sz="8" w:space="0" w:color="auto"/>
            </w:tcBorders>
            <w:shd w:val="clear" w:color="auto" w:fill="auto"/>
            <w:vAlign w:val="center"/>
            <w:hideMark/>
          </w:tcPr>
          <w:p w:rsidR="00E375C8" w:rsidRPr="00736FF9" w:rsidRDefault="00E375C8" w:rsidP="00E375C8">
            <w:pPr>
              <w:jc w:val="right"/>
              <w:rPr>
                <w:rFonts w:ascii="Arial" w:hAnsi="Arial" w:cs="Arial"/>
                <w:color w:val="000000"/>
                <w:sz w:val="18"/>
                <w:szCs w:val="18"/>
                <w:lang w:val="es-ES"/>
              </w:rPr>
            </w:pPr>
            <w:r w:rsidRPr="00736FF9">
              <w:rPr>
                <w:rFonts w:ascii="Arial" w:hAnsi="Arial" w:cs="Arial"/>
                <w:noProof/>
                <w:color w:val="000000"/>
                <w:sz w:val="18"/>
                <w:szCs w:val="18"/>
              </w:rPr>
              <w:t>     </w:t>
            </w:r>
          </w:p>
        </w:tc>
        <w:tc>
          <w:tcPr>
            <w:tcW w:w="1057" w:type="dxa"/>
            <w:tcBorders>
              <w:top w:val="nil"/>
              <w:left w:val="nil"/>
              <w:bottom w:val="single" w:sz="8" w:space="0" w:color="auto"/>
              <w:right w:val="single" w:sz="8" w:space="0" w:color="auto"/>
            </w:tcBorders>
            <w:shd w:val="clear" w:color="auto" w:fill="auto"/>
            <w:vAlign w:val="center"/>
            <w:hideMark/>
          </w:tcPr>
          <w:p w:rsidR="00E375C8" w:rsidRPr="00736FF9" w:rsidRDefault="00E375C8" w:rsidP="00E375C8">
            <w:pPr>
              <w:jc w:val="right"/>
              <w:rPr>
                <w:rFonts w:ascii="Arial" w:hAnsi="Arial" w:cs="Arial"/>
                <w:color w:val="000000"/>
                <w:sz w:val="18"/>
                <w:szCs w:val="18"/>
                <w:lang w:val="es-ES"/>
              </w:rPr>
            </w:pPr>
            <w:r w:rsidRPr="00736FF9">
              <w:rPr>
                <w:rFonts w:ascii="Arial" w:hAnsi="Arial" w:cs="Arial"/>
                <w:color w:val="000000"/>
                <w:sz w:val="18"/>
                <w:szCs w:val="18"/>
                <w:lang w:val="es-ES"/>
              </w:rPr>
              <w:t> </w:t>
            </w:r>
          </w:p>
        </w:tc>
        <w:tc>
          <w:tcPr>
            <w:tcW w:w="1058" w:type="dxa"/>
            <w:tcBorders>
              <w:top w:val="nil"/>
              <w:left w:val="nil"/>
              <w:bottom w:val="single" w:sz="8" w:space="0" w:color="auto"/>
              <w:right w:val="single" w:sz="8" w:space="0" w:color="auto"/>
            </w:tcBorders>
            <w:shd w:val="clear" w:color="auto" w:fill="auto"/>
            <w:vAlign w:val="center"/>
            <w:hideMark/>
          </w:tcPr>
          <w:p w:rsidR="00E375C8" w:rsidRPr="00736FF9" w:rsidRDefault="00E375C8" w:rsidP="00E375C8">
            <w:pPr>
              <w:jc w:val="right"/>
              <w:rPr>
                <w:rFonts w:ascii="Arial" w:hAnsi="Arial" w:cs="Arial"/>
                <w:color w:val="000000"/>
                <w:sz w:val="18"/>
                <w:szCs w:val="18"/>
                <w:lang w:val="es-ES"/>
              </w:rPr>
            </w:pPr>
            <w:r w:rsidRPr="00736FF9">
              <w:rPr>
                <w:rFonts w:ascii="Arial" w:hAnsi="Arial" w:cs="Arial"/>
                <w:color w:val="000000"/>
                <w:sz w:val="18"/>
                <w:szCs w:val="18"/>
                <w:lang w:val="es-ES"/>
              </w:rPr>
              <w:t> </w:t>
            </w:r>
          </w:p>
        </w:tc>
        <w:tc>
          <w:tcPr>
            <w:tcW w:w="1058" w:type="dxa"/>
            <w:tcBorders>
              <w:top w:val="nil"/>
              <w:left w:val="nil"/>
              <w:bottom w:val="single" w:sz="8" w:space="0" w:color="auto"/>
              <w:right w:val="single" w:sz="8" w:space="0" w:color="auto"/>
            </w:tcBorders>
            <w:shd w:val="clear" w:color="auto" w:fill="auto"/>
            <w:vAlign w:val="center"/>
            <w:hideMark/>
          </w:tcPr>
          <w:p w:rsidR="00E375C8" w:rsidRPr="00736FF9" w:rsidRDefault="00E375C8" w:rsidP="00E375C8">
            <w:pPr>
              <w:jc w:val="right"/>
              <w:rPr>
                <w:rFonts w:ascii="Arial" w:hAnsi="Arial" w:cs="Arial"/>
                <w:color w:val="000000"/>
                <w:sz w:val="18"/>
                <w:szCs w:val="18"/>
                <w:lang w:val="es-ES"/>
              </w:rPr>
            </w:pPr>
            <w:r w:rsidRPr="00736FF9">
              <w:rPr>
                <w:rFonts w:ascii="Arial" w:hAnsi="Arial" w:cs="Arial"/>
                <w:color w:val="000000"/>
                <w:sz w:val="18"/>
                <w:szCs w:val="18"/>
                <w:lang w:val="es-ES"/>
              </w:rPr>
              <w:t> </w:t>
            </w:r>
          </w:p>
        </w:tc>
        <w:tc>
          <w:tcPr>
            <w:tcW w:w="839" w:type="dxa"/>
            <w:tcBorders>
              <w:top w:val="nil"/>
              <w:left w:val="nil"/>
              <w:bottom w:val="single" w:sz="8" w:space="0" w:color="auto"/>
              <w:right w:val="single" w:sz="8" w:space="0" w:color="auto"/>
            </w:tcBorders>
            <w:shd w:val="clear" w:color="auto" w:fill="auto"/>
            <w:vAlign w:val="center"/>
            <w:hideMark/>
          </w:tcPr>
          <w:p w:rsidR="00E375C8" w:rsidRPr="00736FF9" w:rsidRDefault="00E375C8" w:rsidP="00E375C8">
            <w:pPr>
              <w:jc w:val="right"/>
              <w:rPr>
                <w:rFonts w:ascii="Arial" w:hAnsi="Arial" w:cs="Arial"/>
                <w:color w:val="000000"/>
                <w:sz w:val="18"/>
                <w:szCs w:val="18"/>
                <w:lang w:val="es-ES"/>
              </w:rPr>
            </w:pPr>
            <w:r w:rsidRPr="00736FF9">
              <w:rPr>
                <w:rFonts w:ascii="Arial" w:hAnsi="Arial" w:cs="Arial"/>
                <w:color w:val="000000"/>
                <w:sz w:val="18"/>
                <w:szCs w:val="18"/>
                <w:lang w:val="es-ES"/>
              </w:rPr>
              <w:t> </w:t>
            </w:r>
          </w:p>
        </w:tc>
        <w:tc>
          <w:tcPr>
            <w:tcW w:w="839" w:type="dxa"/>
            <w:tcBorders>
              <w:top w:val="nil"/>
              <w:left w:val="nil"/>
              <w:bottom w:val="single" w:sz="8" w:space="0" w:color="auto"/>
              <w:right w:val="single" w:sz="8" w:space="0" w:color="auto"/>
            </w:tcBorders>
            <w:shd w:val="clear" w:color="auto" w:fill="auto"/>
            <w:vAlign w:val="center"/>
            <w:hideMark/>
          </w:tcPr>
          <w:p w:rsidR="00E375C8" w:rsidRPr="00736FF9" w:rsidRDefault="00E375C8" w:rsidP="00E375C8">
            <w:pPr>
              <w:jc w:val="right"/>
              <w:rPr>
                <w:rFonts w:ascii="Arial" w:hAnsi="Arial" w:cs="Arial"/>
                <w:color w:val="000000"/>
                <w:sz w:val="18"/>
                <w:szCs w:val="18"/>
                <w:lang w:val="es-ES"/>
              </w:rPr>
            </w:pPr>
            <w:r w:rsidRPr="00736FF9">
              <w:rPr>
                <w:rFonts w:ascii="Arial" w:hAnsi="Arial" w:cs="Arial"/>
                <w:color w:val="000000"/>
                <w:sz w:val="18"/>
                <w:szCs w:val="18"/>
                <w:lang w:val="es-ES"/>
              </w:rPr>
              <w:t> </w:t>
            </w:r>
          </w:p>
        </w:tc>
        <w:tc>
          <w:tcPr>
            <w:tcW w:w="839" w:type="dxa"/>
            <w:tcBorders>
              <w:top w:val="nil"/>
              <w:left w:val="nil"/>
              <w:bottom w:val="single" w:sz="8" w:space="0" w:color="auto"/>
              <w:right w:val="single" w:sz="8" w:space="0" w:color="auto"/>
            </w:tcBorders>
            <w:shd w:val="clear" w:color="auto" w:fill="auto"/>
            <w:vAlign w:val="center"/>
            <w:hideMark/>
          </w:tcPr>
          <w:p w:rsidR="00E375C8" w:rsidRPr="00736FF9" w:rsidRDefault="00E375C8" w:rsidP="00E375C8">
            <w:pPr>
              <w:jc w:val="right"/>
              <w:rPr>
                <w:rFonts w:ascii="Arial" w:hAnsi="Arial" w:cs="Arial"/>
                <w:color w:val="000000"/>
                <w:sz w:val="18"/>
                <w:szCs w:val="18"/>
                <w:lang w:val="es-ES"/>
              </w:rPr>
            </w:pPr>
            <w:r w:rsidRPr="00736FF9">
              <w:rPr>
                <w:rFonts w:ascii="Arial" w:hAnsi="Arial" w:cs="Arial"/>
                <w:color w:val="000000"/>
                <w:sz w:val="18"/>
                <w:szCs w:val="18"/>
                <w:lang w:val="es-ES"/>
              </w:rPr>
              <w:t> </w:t>
            </w:r>
          </w:p>
        </w:tc>
        <w:tc>
          <w:tcPr>
            <w:tcW w:w="1113" w:type="dxa"/>
            <w:tcBorders>
              <w:top w:val="nil"/>
              <w:left w:val="nil"/>
              <w:bottom w:val="single" w:sz="8" w:space="0" w:color="auto"/>
              <w:right w:val="single" w:sz="8" w:space="0" w:color="auto"/>
            </w:tcBorders>
            <w:shd w:val="clear" w:color="auto" w:fill="auto"/>
            <w:vAlign w:val="center"/>
            <w:hideMark/>
          </w:tcPr>
          <w:p w:rsidR="00E375C8" w:rsidRPr="00736FF9" w:rsidRDefault="00E375C8" w:rsidP="00E375C8">
            <w:pPr>
              <w:jc w:val="right"/>
              <w:rPr>
                <w:rFonts w:ascii="Arial" w:hAnsi="Arial" w:cs="Arial"/>
                <w:color w:val="000000"/>
                <w:sz w:val="18"/>
                <w:szCs w:val="18"/>
                <w:lang w:val="es-ES"/>
              </w:rPr>
            </w:pPr>
            <w:r w:rsidRPr="00736FF9">
              <w:rPr>
                <w:rFonts w:ascii="Arial" w:hAnsi="Arial" w:cs="Arial"/>
                <w:color w:val="000000"/>
                <w:sz w:val="18"/>
                <w:szCs w:val="18"/>
                <w:lang w:val="es-ES"/>
              </w:rPr>
              <w:t> </w:t>
            </w:r>
          </w:p>
        </w:tc>
      </w:tr>
      <w:tr w:rsidR="00FE6A95" w:rsidRPr="00736FF9" w:rsidTr="00736FF9">
        <w:trPr>
          <w:trHeight w:val="315"/>
          <w:jc w:val="center"/>
        </w:trPr>
        <w:tc>
          <w:tcPr>
            <w:tcW w:w="2008" w:type="dxa"/>
            <w:tcBorders>
              <w:top w:val="nil"/>
              <w:left w:val="single" w:sz="8" w:space="0" w:color="auto"/>
              <w:bottom w:val="single" w:sz="8" w:space="0" w:color="auto"/>
              <w:right w:val="single" w:sz="8" w:space="0" w:color="auto"/>
            </w:tcBorders>
            <w:shd w:val="clear" w:color="auto" w:fill="auto"/>
            <w:vAlign w:val="center"/>
            <w:hideMark/>
          </w:tcPr>
          <w:p w:rsidR="00E375C8" w:rsidRPr="00736FF9" w:rsidRDefault="00E375C8" w:rsidP="00736FF9">
            <w:pPr>
              <w:rPr>
                <w:rFonts w:ascii="Arial" w:hAnsi="Arial" w:cs="Arial"/>
                <w:b/>
                <w:bCs/>
                <w:color w:val="000000"/>
                <w:sz w:val="18"/>
                <w:szCs w:val="18"/>
                <w:lang w:val="es-ES"/>
              </w:rPr>
            </w:pPr>
            <w:r w:rsidRPr="00736FF9">
              <w:rPr>
                <w:rFonts w:ascii="Arial" w:hAnsi="Arial" w:cs="Arial"/>
                <w:b/>
                <w:bCs/>
                <w:color w:val="000000"/>
                <w:sz w:val="18"/>
                <w:szCs w:val="18"/>
              </w:rPr>
              <w:t>Total</w:t>
            </w:r>
          </w:p>
        </w:tc>
        <w:tc>
          <w:tcPr>
            <w:tcW w:w="838" w:type="dxa"/>
            <w:tcBorders>
              <w:top w:val="nil"/>
              <w:left w:val="nil"/>
              <w:bottom w:val="single" w:sz="8" w:space="0" w:color="auto"/>
              <w:right w:val="single" w:sz="8" w:space="0" w:color="auto"/>
            </w:tcBorders>
            <w:shd w:val="clear" w:color="auto" w:fill="auto"/>
            <w:vAlign w:val="center"/>
            <w:hideMark/>
          </w:tcPr>
          <w:p w:rsidR="00E375C8" w:rsidRPr="00736FF9" w:rsidRDefault="00E375C8" w:rsidP="00E375C8">
            <w:pPr>
              <w:jc w:val="right"/>
              <w:rPr>
                <w:rFonts w:ascii="Arial" w:hAnsi="Arial" w:cs="Arial"/>
                <w:color w:val="000000"/>
                <w:sz w:val="18"/>
                <w:szCs w:val="18"/>
                <w:lang w:val="es-ES"/>
              </w:rPr>
            </w:pPr>
            <w:r w:rsidRPr="00736FF9">
              <w:rPr>
                <w:rFonts w:ascii="Arial" w:hAnsi="Arial" w:cs="Arial"/>
                <w:noProof/>
                <w:color w:val="000000"/>
                <w:sz w:val="18"/>
                <w:szCs w:val="18"/>
              </w:rPr>
              <w:t>     </w:t>
            </w:r>
          </w:p>
        </w:tc>
        <w:tc>
          <w:tcPr>
            <w:tcW w:w="1057" w:type="dxa"/>
            <w:tcBorders>
              <w:top w:val="nil"/>
              <w:left w:val="nil"/>
              <w:bottom w:val="single" w:sz="8" w:space="0" w:color="auto"/>
              <w:right w:val="single" w:sz="8" w:space="0" w:color="auto"/>
            </w:tcBorders>
            <w:shd w:val="clear" w:color="auto" w:fill="auto"/>
            <w:vAlign w:val="center"/>
            <w:hideMark/>
          </w:tcPr>
          <w:p w:rsidR="00E375C8" w:rsidRPr="00736FF9" w:rsidRDefault="005678FC" w:rsidP="00E375C8">
            <w:pPr>
              <w:jc w:val="right"/>
              <w:rPr>
                <w:rFonts w:ascii="Arial" w:hAnsi="Arial" w:cs="Arial"/>
                <w:color w:val="000000"/>
                <w:sz w:val="18"/>
                <w:szCs w:val="18"/>
                <w:lang w:val="es-ES"/>
              </w:rPr>
            </w:pPr>
            <w:r w:rsidRPr="00736FF9">
              <w:rPr>
                <w:rFonts w:ascii="Arial" w:hAnsi="Arial" w:cs="Arial"/>
                <w:color w:val="000000"/>
                <w:sz w:val="18"/>
                <w:szCs w:val="18"/>
                <w:lang w:val="es-ES"/>
              </w:rPr>
              <w:t>53</w:t>
            </w:r>
            <w:r w:rsidR="00E375C8" w:rsidRPr="00736FF9">
              <w:rPr>
                <w:rFonts w:ascii="Arial" w:hAnsi="Arial" w:cs="Arial"/>
                <w:color w:val="000000"/>
                <w:sz w:val="18"/>
                <w:szCs w:val="18"/>
                <w:lang w:val="es-ES"/>
              </w:rPr>
              <w:t>.8</w:t>
            </w:r>
            <w:r w:rsidRPr="00736FF9">
              <w:rPr>
                <w:rFonts w:ascii="Arial" w:hAnsi="Arial" w:cs="Arial"/>
                <w:color w:val="000000"/>
                <w:sz w:val="18"/>
                <w:szCs w:val="18"/>
                <w:lang w:val="es-ES"/>
              </w:rPr>
              <w:t>1</w:t>
            </w:r>
            <w:r w:rsidR="00E375C8" w:rsidRPr="00736FF9">
              <w:rPr>
                <w:rFonts w:ascii="Arial" w:hAnsi="Arial" w:cs="Arial"/>
                <w:color w:val="000000"/>
                <w:sz w:val="18"/>
                <w:szCs w:val="18"/>
                <w:lang w:val="es-ES"/>
              </w:rPr>
              <w:t>0,00</w:t>
            </w:r>
          </w:p>
        </w:tc>
        <w:tc>
          <w:tcPr>
            <w:tcW w:w="1058" w:type="dxa"/>
            <w:tcBorders>
              <w:top w:val="nil"/>
              <w:left w:val="nil"/>
              <w:bottom w:val="single" w:sz="8" w:space="0" w:color="auto"/>
              <w:right w:val="single" w:sz="8" w:space="0" w:color="auto"/>
            </w:tcBorders>
            <w:shd w:val="clear" w:color="auto" w:fill="auto"/>
            <w:vAlign w:val="center"/>
            <w:hideMark/>
          </w:tcPr>
          <w:p w:rsidR="00E375C8" w:rsidRPr="00736FF9" w:rsidRDefault="00736FF9" w:rsidP="00736FF9">
            <w:pPr>
              <w:jc w:val="right"/>
              <w:rPr>
                <w:rFonts w:ascii="Arial" w:hAnsi="Arial" w:cs="Arial"/>
                <w:color w:val="000000"/>
                <w:sz w:val="18"/>
                <w:szCs w:val="18"/>
                <w:lang w:val="es-ES"/>
              </w:rPr>
            </w:pPr>
            <w:r>
              <w:rPr>
                <w:rFonts w:ascii="Arial" w:hAnsi="Arial" w:cs="Arial"/>
                <w:color w:val="000000"/>
                <w:sz w:val="18"/>
                <w:szCs w:val="18"/>
                <w:lang w:val="es-ES"/>
              </w:rPr>
              <w:t>66</w:t>
            </w:r>
            <w:r w:rsidR="00E375C8" w:rsidRPr="00736FF9">
              <w:rPr>
                <w:rFonts w:ascii="Arial" w:hAnsi="Arial" w:cs="Arial"/>
                <w:color w:val="000000"/>
                <w:sz w:val="18"/>
                <w:szCs w:val="18"/>
                <w:lang w:val="es-ES"/>
              </w:rPr>
              <w:t>.</w:t>
            </w:r>
            <w:r>
              <w:rPr>
                <w:rFonts w:ascii="Arial" w:hAnsi="Arial" w:cs="Arial"/>
                <w:color w:val="000000"/>
                <w:sz w:val="18"/>
                <w:szCs w:val="18"/>
                <w:lang w:val="es-ES"/>
              </w:rPr>
              <w:t>601</w:t>
            </w:r>
            <w:r w:rsidR="00E375C8" w:rsidRPr="00736FF9">
              <w:rPr>
                <w:rFonts w:ascii="Arial" w:hAnsi="Arial" w:cs="Arial"/>
                <w:color w:val="000000"/>
                <w:sz w:val="18"/>
                <w:szCs w:val="18"/>
                <w:lang w:val="es-ES"/>
              </w:rPr>
              <w:t>,</w:t>
            </w:r>
            <w:r>
              <w:rPr>
                <w:rFonts w:ascii="Arial" w:hAnsi="Arial" w:cs="Arial"/>
                <w:color w:val="000000"/>
                <w:sz w:val="18"/>
                <w:szCs w:val="18"/>
                <w:lang w:val="es-ES"/>
              </w:rPr>
              <w:t>1</w:t>
            </w:r>
            <w:r w:rsidR="00E375C8" w:rsidRPr="00736FF9">
              <w:rPr>
                <w:rFonts w:ascii="Arial" w:hAnsi="Arial" w:cs="Arial"/>
                <w:color w:val="000000"/>
                <w:sz w:val="18"/>
                <w:szCs w:val="18"/>
                <w:lang w:val="es-ES"/>
              </w:rPr>
              <w:t>0</w:t>
            </w:r>
          </w:p>
        </w:tc>
        <w:tc>
          <w:tcPr>
            <w:tcW w:w="1058" w:type="dxa"/>
            <w:tcBorders>
              <w:top w:val="nil"/>
              <w:left w:val="nil"/>
              <w:bottom w:val="single" w:sz="8" w:space="0" w:color="auto"/>
              <w:right w:val="single" w:sz="8" w:space="0" w:color="auto"/>
            </w:tcBorders>
            <w:shd w:val="clear" w:color="auto" w:fill="auto"/>
            <w:vAlign w:val="center"/>
            <w:hideMark/>
          </w:tcPr>
          <w:p w:rsidR="00E375C8" w:rsidRPr="00736FF9" w:rsidRDefault="00FE6A95" w:rsidP="00FE6A95">
            <w:pPr>
              <w:jc w:val="right"/>
              <w:rPr>
                <w:rFonts w:ascii="Arial" w:hAnsi="Arial" w:cs="Arial"/>
                <w:color w:val="000000"/>
                <w:sz w:val="18"/>
                <w:szCs w:val="18"/>
                <w:lang w:val="es-ES"/>
              </w:rPr>
            </w:pPr>
            <w:r>
              <w:rPr>
                <w:rFonts w:ascii="Arial" w:hAnsi="Arial" w:cs="Arial"/>
                <w:color w:val="000000"/>
                <w:sz w:val="18"/>
                <w:szCs w:val="18"/>
                <w:lang w:val="es-ES"/>
              </w:rPr>
              <w:t>24</w:t>
            </w:r>
            <w:r w:rsidR="00E375C8" w:rsidRPr="00736FF9">
              <w:rPr>
                <w:rFonts w:ascii="Arial" w:hAnsi="Arial" w:cs="Arial"/>
                <w:color w:val="000000"/>
                <w:sz w:val="18"/>
                <w:szCs w:val="18"/>
                <w:lang w:val="es-ES"/>
              </w:rPr>
              <w:t>.</w:t>
            </w:r>
            <w:r>
              <w:rPr>
                <w:rFonts w:ascii="Arial" w:hAnsi="Arial" w:cs="Arial"/>
                <w:color w:val="000000"/>
                <w:sz w:val="18"/>
                <w:szCs w:val="18"/>
                <w:lang w:val="es-ES"/>
              </w:rPr>
              <w:t>168,9</w:t>
            </w:r>
            <w:r w:rsidR="00E375C8" w:rsidRPr="00736FF9">
              <w:rPr>
                <w:rFonts w:ascii="Arial" w:hAnsi="Arial" w:cs="Arial"/>
                <w:color w:val="000000"/>
                <w:sz w:val="18"/>
                <w:szCs w:val="18"/>
                <w:lang w:val="es-ES"/>
              </w:rPr>
              <w:t>0</w:t>
            </w:r>
          </w:p>
        </w:tc>
        <w:tc>
          <w:tcPr>
            <w:tcW w:w="839" w:type="dxa"/>
            <w:tcBorders>
              <w:top w:val="nil"/>
              <w:left w:val="nil"/>
              <w:bottom w:val="single" w:sz="8" w:space="0" w:color="auto"/>
              <w:right w:val="single" w:sz="8" w:space="0" w:color="auto"/>
            </w:tcBorders>
            <w:shd w:val="clear" w:color="auto" w:fill="auto"/>
            <w:vAlign w:val="center"/>
            <w:hideMark/>
          </w:tcPr>
          <w:p w:rsidR="00E375C8" w:rsidRPr="00736FF9" w:rsidRDefault="00E375C8" w:rsidP="00E375C8">
            <w:pPr>
              <w:jc w:val="right"/>
              <w:rPr>
                <w:rFonts w:ascii="Arial" w:hAnsi="Arial" w:cs="Arial"/>
                <w:color w:val="000000"/>
                <w:sz w:val="18"/>
                <w:szCs w:val="18"/>
                <w:lang w:val="es-ES"/>
              </w:rPr>
            </w:pPr>
            <w:r w:rsidRPr="00736FF9">
              <w:rPr>
                <w:rFonts w:ascii="Arial" w:hAnsi="Arial" w:cs="Arial"/>
                <w:color w:val="000000"/>
                <w:sz w:val="18"/>
                <w:szCs w:val="18"/>
                <w:lang w:val="es-ES"/>
              </w:rPr>
              <w:t> </w:t>
            </w:r>
          </w:p>
        </w:tc>
        <w:tc>
          <w:tcPr>
            <w:tcW w:w="839" w:type="dxa"/>
            <w:tcBorders>
              <w:top w:val="nil"/>
              <w:left w:val="nil"/>
              <w:bottom w:val="single" w:sz="8" w:space="0" w:color="auto"/>
              <w:right w:val="single" w:sz="8" w:space="0" w:color="auto"/>
            </w:tcBorders>
            <w:shd w:val="clear" w:color="auto" w:fill="auto"/>
            <w:vAlign w:val="center"/>
            <w:hideMark/>
          </w:tcPr>
          <w:p w:rsidR="00E375C8" w:rsidRPr="00736FF9" w:rsidRDefault="00E375C8" w:rsidP="00E375C8">
            <w:pPr>
              <w:jc w:val="right"/>
              <w:rPr>
                <w:rFonts w:ascii="Arial" w:hAnsi="Arial" w:cs="Arial"/>
                <w:color w:val="000000"/>
                <w:sz w:val="18"/>
                <w:szCs w:val="18"/>
                <w:lang w:val="es-ES"/>
              </w:rPr>
            </w:pPr>
            <w:r w:rsidRPr="00736FF9">
              <w:rPr>
                <w:rFonts w:ascii="Arial" w:hAnsi="Arial" w:cs="Arial"/>
                <w:color w:val="000000"/>
                <w:sz w:val="18"/>
                <w:szCs w:val="18"/>
                <w:lang w:val="es-ES"/>
              </w:rPr>
              <w:t> </w:t>
            </w:r>
          </w:p>
        </w:tc>
        <w:tc>
          <w:tcPr>
            <w:tcW w:w="839" w:type="dxa"/>
            <w:tcBorders>
              <w:top w:val="nil"/>
              <w:left w:val="nil"/>
              <w:bottom w:val="single" w:sz="8" w:space="0" w:color="auto"/>
              <w:right w:val="single" w:sz="8" w:space="0" w:color="auto"/>
            </w:tcBorders>
            <w:shd w:val="clear" w:color="auto" w:fill="auto"/>
            <w:vAlign w:val="center"/>
            <w:hideMark/>
          </w:tcPr>
          <w:p w:rsidR="00E375C8" w:rsidRPr="00736FF9" w:rsidRDefault="00E375C8" w:rsidP="00E375C8">
            <w:pPr>
              <w:jc w:val="right"/>
              <w:rPr>
                <w:rFonts w:ascii="Arial" w:hAnsi="Arial" w:cs="Arial"/>
                <w:color w:val="000000"/>
                <w:sz w:val="18"/>
                <w:szCs w:val="18"/>
                <w:lang w:val="es-ES"/>
              </w:rPr>
            </w:pPr>
            <w:r w:rsidRPr="00736FF9">
              <w:rPr>
                <w:rFonts w:ascii="Arial" w:hAnsi="Arial" w:cs="Arial"/>
                <w:color w:val="000000"/>
                <w:sz w:val="18"/>
                <w:szCs w:val="18"/>
                <w:lang w:val="es-ES"/>
              </w:rPr>
              <w:t> </w:t>
            </w:r>
          </w:p>
        </w:tc>
        <w:tc>
          <w:tcPr>
            <w:tcW w:w="1113" w:type="dxa"/>
            <w:tcBorders>
              <w:top w:val="nil"/>
              <w:left w:val="nil"/>
              <w:bottom w:val="single" w:sz="8" w:space="0" w:color="auto"/>
              <w:right w:val="single" w:sz="8" w:space="0" w:color="auto"/>
            </w:tcBorders>
            <w:shd w:val="clear" w:color="auto" w:fill="auto"/>
            <w:vAlign w:val="center"/>
            <w:hideMark/>
          </w:tcPr>
          <w:p w:rsidR="00E375C8" w:rsidRPr="00736FF9" w:rsidRDefault="00E375C8" w:rsidP="00FE6A95">
            <w:pPr>
              <w:jc w:val="right"/>
              <w:rPr>
                <w:rFonts w:ascii="Arial" w:hAnsi="Arial" w:cs="Arial"/>
                <w:color w:val="000000"/>
                <w:sz w:val="18"/>
                <w:szCs w:val="18"/>
                <w:lang w:val="es-ES"/>
              </w:rPr>
            </w:pPr>
            <w:r w:rsidRPr="00736FF9">
              <w:rPr>
                <w:rFonts w:ascii="Arial" w:hAnsi="Arial" w:cs="Arial"/>
                <w:color w:val="000000"/>
                <w:sz w:val="18"/>
                <w:szCs w:val="18"/>
                <w:lang w:val="es-ES"/>
              </w:rPr>
              <w:t>14</w:t>
            </w:r>
            <w:r w:rsidR="00FE6A95">
              <w:rPr>
                <w:rFonts w:ascii="Arial" w:hAnsi="Arial" w:cs="Arial"/>
                <w:color w:val="000000"/>
                <w:sz w:val="18"/>
                <w:szCs w:val="18"/>
                <w:lang w:val="es-ES"/>
              </w:rPr>
              <w:t>4</w:t>
            </w:r>
            <w:r w:rsidRPr="00736FF9">
              <w:rPr>
                <w:rFonts w:ascii="Arial" w:hAnsi="Arial" w:cs="Arial"/>
                <w:color w:val="000000"/>
                <w:sz w:val="18"/>
                <w:szCs w:val="18"/>
                <w:lang w:val="es-ES"/>
              </w:rPr>
              <w:t>.</w:t>
            </w:r>
            <w:r w:rsidR="00FE6A95">
              <w:rPr>
                <w:rFonts w:ascii="Arial" w:hAnsi="Arial" w:cs="Arial"/>
                <w:color w:val="000000"/>
                <w:sz w:val="18"/>
                <w:szCs w:val="18"/>
                <w:lang w:val="es-ES"/>
              </w:rPr>
              <w:t>580</w:t>
            </w:r>
            <w:r w:rsidRPr="00736FF9">
              <w:rPr>
                <w:rFonts w:ascii="Arial" w:hAnsi="Arial" w:cs="Arial"/>
                <w:color w:val="000000"/>
                <w:sz w:val="18"/>
                <w:szCs w:val="18"/>
                <w:lang w:val="es-ES"/>
              </w:rPr>
              <w:t>,</w:t>
            </w:r>
            <w:r w:rsidR="00FE6A95">
              <w:rPr>
                <w:rFonts w:ascii="Arial" w:hAnsi="Arial" w:cs="Arial"/>
                <w:color w:val="000000"/>
                <w:sz w:val="18"/>
                <w:szCs w:val="18"/>
                <w:lang w:val="es-ES"/>
              </w:rPr>
              <w:t>0</w:t>
            </w:r>
            <w:r w:rsidRPr="00736FF9">
              <w:rPr>
                <w:rFonts w:ascii="Arial" w:hAnsi="Arial" w:cs="Arial"/>
                <w:color w:val="000000"/>
                <w:sz w:val="18"/>
                <w:szCs w:val="18"/>
                <w:lang w:val="es-ES"/>
              </w:rPr>
              <w:t>0</w:t>
            </w:r>
          </w:p>
        </w:tc>
      </w:tr>
    </w:tbl>
    <w:p w:rsidR="00CB24F0" w:rsidRDefault="00CB24F0" w:rsidP="003C520C">
      <w:pPr>
        <w:spacing w:before="120" w:after="120" w:line="360" w:lineRule="exact"/>
        <w:jc w:val="both"/>
        <w:rPr>
          <w:rFonts w:ascii="Arial" w:hAnsi="Arial" w:cs="Arial"/>
          <w:sz w:val="24"/>
          <w:szCs w:val="24"/>
        </w:rPr>
      </w:pPr>
    </w:p>
    <w:p w:rsidR="00E375C8" w:rsidRPr="00517824" w:rsidRDefault="00E375C8" w:rsidP="00466C87">
      <w:pPr>
        <w:spacing w:before="120" w:after="120" w:line="360" w:lineRule="exact"/>
        <w:jc w:val="both"/>
        <w:rPr>
          <w:rFonts w:ascii="Arial" w:hAnsi="Arial" w:cs="Arial"/>
          <w:b/>
          <w:sz w:val="22"/>
          <w:szCs w:val="22"/>
        </w:rPr>
      </w:pPr>
      <w:r w:rsidRPr="00517824">
        <w:rPr>
          <w:rFonts w:ascii="Arial" w:hAnsi="Arial" w:cs="Arial"/>
          <w:b/>
          <w:sz w:val="22"/>
          <w:szCs w:val="22"/>
        </w:rPr>
        <w:lastRenderedPageBreak/>
        <w:t xml:space="preserve">6. </w:t>
      </w:r>
      <w:r w:rsidR="00574AF4" w:rsidRPr="00517824">
        <w:rPr>
          <w:rFonts w:ascii="Arial" w:hAnsi="Arial" w:cs="Arial"/>
          <w:b/>
          <w:sz w:val="22"/>
          <w:szCs w:val="22"/>
        </w:rPr>
        <w:t>HIT</w:t>
      </w:r>
      <w:r w:rsidR="00574AF4">
        <w:rPr>
          <w:rFonts w:ascii="Arial" w:hAnsi="Arial" w:cs="Arial"/>
          <w:b/>
          <w:sz w:val="22"/>
          <w:szCs w:val="22"/>
        </w:rPr>
        <w:t>OS Y OBJETIVOS DE LA INVERSIÓN</w:t>
      </w:r>
    </w:p>
    <w:p w:rsidR="00E375C8" w:rsidRDefault="00E375C8" w:rsidP="00574AF4">
      <w:pPr>
        <w:spacing w:before="120" w:after="120" w:line="360" w:lineRule="exact"/>
        <w:ind w:firstLine="708"/>
        <w:jc w:val="both"/>
        <w:rPr>
          <w:rFonts w:ascii="Arial" w:hAnsi="Arial" w:cs="Arial"/>
          <w:sz w:val="22"/>
          <w:szCs w:val="22"/>
        </w:rPr>
      </w:pPr>
      <w:r>
        <w:rPr>
          <w:rFonts w:ascii="Arial" w:hAnsi="Arial" w:cs="Arial"/>
          <w:sz w:val="22"/>
          <w:szCs w:val="22"/>
        </w:rPr>
        <w:t>El hito de esta inversión es iniciar las contrataciones de los desarrollos de aplicativos que permitan las mejoras en la digitalización de los servicios de empleo durante el año 2022. Dependiendo de la complejidad del desarrollo, algunas mejoras se ejecutarán a finales de 2022 y el resto en el año 2023, de manera que estén en funcionamiento todos los nuevos desarrollos en el último trimestre de 2023.</w:t>
      </w:r>
    </w:p>
    <w:p w:rsidR="00E375C8" w:rsidRDefault="00E375C8" w:rsidP="00E375C8">
      <w:pPr>
        <w:rPr>
          <w:rFonts w:ascii="Arial" w:hAnsi="Arial" w:cs="Arial"/>
          <w:sz w:val="22"/>
          <w:szCs w:val="22"/>
        </w:rPr>
      </w:pPr>
    </w:p>
    <w:p w:rsidR="00D91C98" w:rsidRDefault="00D91C98">
      <w:bookmarkStart w:id="0" w:name="_GoBack"/>
      <w:bookmarkEnd w:id="0"/>
    </w:p>
    <w:sectPr w:rsidR="00D91C98" w:rsidSect="00466C87">
      <w:pgSz w:w="11906" w:h="16838"/>
      <w:pgMar w:top="1701" w:right="1134" w:bottom="1701"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DC7C04"/>
    <w:multiLevelType w:val="hybridMultilevel"/>
    <w:tmpl w:val="F1481D34"/>
    <w:lvl w:ilvl="0" w:tplc="0C0A0001">
      <w:start w:val="1"/>
      <w:numFmt w:val="bullet"/>
      <w:lvlText w:val=""/>
      <w:lvlJc w:val="left"/>
      <w:pPr>
        <w:ind w:left="1037" w:hanging="360"/>
      </w:pPr>
      <w:rPr>
        <w:rFonts w:ascii="Symbol" w:hAnsi="Symbol" w:hint="default"/>
      </w:rPr>
    </w:lvl>
    <w:lvl w:ilvl="1" w:tplc="0C0A0003">
      <w:start w:val="1"/>
      <w:numFmt w:val="bullet"/>
      <w:lvlText w:val="o"/>
      <w:lvlJc w:val="left"/>
      <w:pPr>
        <w:ind w:left="1757" w:hanging="360"/>
      </w:pPr>
      <w:rPr>
        <w:rFonts w:ascii="Courier New" w:hAnsi="Courier New" w:cs="Courier New" w:hint="default"/>
      </w:rPr>
    </w:lvl>
    <w:lvl w:ilvl="2" w:tplc="0C0A0005" w:tentative="1">
      <w:start w:val="1"/>
      <w:numFmt w:val="bullet"/>
      <w:lvlText w:val=""/>
      <w:lvlJc w:val="left"/>
      <w:pPr>
        <w:ind w:left="2477" w:hanging="360"/>
      </w:pPr>
      <w:rPr>
        <w:rFonts w:ascii="Wingdings" w:hAnsi="Wingdings" w:hint="default"/>
      </w:rPr>
    </w:lvl>
    <w:lvl w:ilvl="3" w:tplc="0C0A0001" w:tentative="1">
      <w:start w:val="1"/>
      <w:numFmt w:val="bullet"/>
      <w:lvlText w:val=""/>
      <w:lvlJc w:val="left"/>
      <w:pPr>
        <w:ind w:left="3197" w:hanging="360"/>
      </w:pPr>
      <w:rPr>
        <w:rFonts w:ascii="Symbol" w:hAnsi="Symbol" w:hint="default"/>
      </w:rPr>
    </w:lvl>
    <w:lvl w:ilvl="4" w:tplc="0C0A0003" w:tentative="1">
      <w:start w:val="1"/>
      <w:numFmt w:val="bullet"/>
      <w:lvlText w:val="o"/>
      <w:lvlJc w:val="left"/>
      <w:pPr>
        <w:ind w:left="3917" w:hanging="360"/>
      </w:pPr>
      <w:rPr>
        <w:rFonts w:ascii="Courier New" w:hAnsi="Courier New" w:cs="Courier New" w:hint="default"/>
      </w:rPr>
    </w:lvl>
    <w:lvl w:ilvl="5" w:tplc="0C0A0005" w:tentative="1">
      <w:start w:val="1"/>
      <w:numFmt w:val="bullet"/>
      <w:lvlText w:val=""/>
      <w:lvlJc w:val="left"/>
      <w:pPr>
        <w:ind w:left="4637" w:hanging="360"/>
      </w:pPr>
      <w:rPr>
        <w:rFonts w:ascii="Wingdings" w:hAnsi="Wingdings" w:hint="default"/>
      </w:rPr>
    </w:lvl>
    <w:lvl w:ilvl="6" w:tplc="0C0A0001" w:tentative="1">
      <w:start w:val="1"/>
      <w:numFmt w:val="bullet"/>
      <w:lvlText w:val=""/>
      <w:lvlJc w:val="left"/>
      <w:pPr>
        <w:ind w:left="5357" w:hanging="360"/>
      </w:pPr>
      <w:rPr>
        <w:rFonts w:ascii="Symbol" w:hAnsi="Symbol" w:hint="default"/>
      </w:rPr>
    </w:lvl>
    <w:lvl w:ilvl="7" w:tplc="0C0A0003" w:tentative="1">
      <w:start w:val="1"/>
      <w:numFmt w:val="bullet"/>
      <w:lvlText w:val="o"/>
      <w:lvlJc w:val="left"/>
      <w:pPr>
        <w:ind w:left="6077" w:hanging="360"/>
      </w:pPr>
      <w:rPr>
        <w:rFonts w:ascii="Courier New" w:hAnsi="Courier New" w:cs="Courier New" w:hint="default"/>
      </w:rPr>
    </w:lvl>
    <w:lvl w:ilvl="8" w:tplc="0C0A0005" w:tentative="1">
      <w:start w:val="1"/>
      <w:numFmt w:val="bullet"/>
      <w:lvlText w:val=""/>
      <w:lvlJc w:val="left"/>
      <w:pPr>
        <w:ind w:left="6797" w:hanging="360"/>
      </w:pPr>
      <w:rPr>
        <w:rFonts w:ascii="Wingdings" w:hAnsi="Wingdings" w:hint="default"/>
      </w:rPr>
    </w:lvl>
  </w:abstractNum>
  <w:abstractNum w:abstractNumId="1" w15:restartNumberingAfterBreak="0">
    <w:nsid w:val="5424338F"/>
    <w:multiLevelType w:val="hybridMultilevel"/>
    <w:tmpl w:val="67581BB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15:restartNumberingAfterBreak="0">
    <w:nsid w:val="75A7662D"/>
    <w:multiLevelType w:val="hybridMultilevel"/>
    <w:tmpl w:val="27FAF622"/>
    <w:lvl w:ilvl="0" w:tplc="C6E82A42">
      <w:numFmt w:val="bullet"/>
      <w:lvlText w:val="-"/>
      <w:lvlJc w:val="left"/>
      <w:pPr>
        <w:ind w:left="792" w:hanging="360"/>
      </w:pPr>
      <w:rPr>
        <w:rFonts w:ascii="Calibri" w:hAnsi="Calibri" w:hint="default"/>
        <w:color w:val="44546A" w:themeColor="text2"/>
      </w:rPr>
    </w:lvl>
    <w:lvl w:ilvl="1" w:tplc="0C0A0003" w:tentative="1">
      <w:start w:val="1"/>
      <w:numFmt w:val="bullet"/>
      <w:lvlText w:val="o"/>
      <w:lvlJc w:val="left"/>
      <w:pPr>
        <w:ind w:left="1512" w:hanging="360"/>
      </w:pPr>
      <w:rPr>
        <w:rFonts w:ascii="Courier New" w:hAnsi="Courier New" w:cs="Courier New" w:hint="default"/>
      </w:rPr>
    </w:lvl>
    <w:lvl w:ilvl="2" w:tplc="0C0A0005" w:tentative="1">
      <w:start w:val="1"/>
      <w:numFmt w:val="bullet"/>
      <w:lvlText w:val=""/>
      <w:lvlJc w:val="left"/>
      <w:pPr>
        <w:ind w:left="2232" w:hanging="360"/>
      </w:pPr>
      <w:rPr>
        <w:rFonts w:ascii="Wingdings" w:hAnsi="Wingdings" w:hint="default"/>
      </w:rPr>
    </w:lvl>
    <w:lvl w:ilvl="3" w:tplc="0C0A0001" w:tentative="1">
      <w:start w:val="1"/>
      <w:numFmt w:val="bullet"/>
      <w:lvlText w:val=""/>
      <w:lvlJc w:val="left"/>
      <w:pPr>
        <w:ind w:left="2952" w:hanging="360"/>
      </w:pPr>
      <w:rPr>
        <w:rFonts w:ascii="Symbol" w:hAnsi="Symbol" w:hint="default"/>
      </w:rPr>
    </w:lvl>
    <w:lvl w:ilvl="4" w:tplc="0C0A0003" w:tentative="1">
      <w:start w:val="1"/>
      <w:numFmt w:val="bullet"/>
      <w:lvlText w:val="o"/>
      <w:lvlJc w:val="left"/>
      <w:pPr>
        <w:ind w:left="3672" w:hanging="360"/>
      </w:pPr>
      <w:rPr>
        <w:rFonts w:ascii="Courier New" w:hAnsi="Courier New" w:cs="Courier New" w:hint="default"/>
      </w:rPr>
    </w:lvl>
    <w:lvl w:ilvl="5" w:tplc="0C0A0005" w:tentative="1">
      <w:start w:val="1"/>
      <w:numFmt w:val="bullet"/>
      <w:lvlText w:val=""/>
      <w:lvlJc w:val="left"/>
      <w:pPr>
        <w:ind w:left="4392" w:hanging="360"/>
      </w:pPr>
      <w:rPr>
        <w:rFonts w:ascii="Wingdings" w:hAnsi="Wingdings" w:hint="default"/>
      </w:rPr>
    </w:lvl>
    <w:lvl w:ilvl="6" w:tplc="0C0A0001" w:tentative="1">
      <w:start w:val="1"/>
      <w:numFmt w:val="bullet"/>
      <w:lvlText w:val=""/>
      <w:lvlJc w:val="left"/>
      <w:pPr>
        <w:ind w:left="5112" w:hanging="360"/>
      </w:pPr>
      <w:rPr>
        <w:rFonts w:ascii="Symbol" w:hAnsi="Symbol" w:hint="default"/>
      </w:rPr>
    </w:lvl>
    <w:lvl w:ilvl="7" w:tplc="0C0A0003" w:tentative="1">
      <w:start w:val="1"/>
      <w:numFmt w:val="bullet"/>
      <w:lvlText w:val="o"/>
      <w:lvlJc w:val="left"/>
      <w:pPr>
        <w:ind w:left="5832" w:hanging="360"/>
      </w:pPr>
      <w:rPr>
        <w:rFonts w:ascii="Courier New" w:hAnsi="Courier New" w:cs="Courier New" w:hint="default"/>
      </w:rPr>
    </w:lvl>
    <w:lvl w:ilvl="8" w:tplc="0C0A0005" w:tentative="1">
      <w:start w:val="1"/>
      <w:numFmt w:val="bullet"/>
      <w:lvlText w:val=""/>
      <w:lvlJc w:val="left"/>
      <w:pPr>
        <w:ind w:left="6552"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4EF5"/>
    <w:rsid w:val="00004EF5"/>
    <w:rsid w:val="00164A9E"/>
    <w:rsid w:val="00222CE5"/>
    <w:rsid w:val="002F5B0C"/>
    <w:rsid w:val="003C520C"/>
    <w:rsid w:val="00466C87"/>
    <w:rsid w:val="005678FC"/>
    <w:rsid w:val="00574AF4"/>
    <w:rsid w:val="00736FF9"/>
    <w:rsid w:val="009137A6"/>
    <w:rsid w:val="00CB24F0"/>
    <w:rsid w:val="00D11E39"/>
    <w:rsid w:val="00D91C98"/>
    <w:rsid w:val="00E02804"/>
    <w:rsid w:val="00E375C8"/>
    <w:rsid w:val="00FB2672"/>
    <w:rsid w:val="00FB7E0A"/>
    <w:rsid w:val="00FE6A95"/>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218780"/>
  <w15:chartTrackingRefBased/>
  <w15:docId w15:val="{F22A58C1-8907-4E4C-8651-8BA19E2885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C520C"/>
    <w:pPr>
      <w:spacing w:after="0" w:line="240" w:lineRule="auto"/>
    </w:pPr>
    <w:rPr>
      <w:rFonts w:ascii="Times New Roman" w:eastAsia="Times New Roman" w:hAnsi="Times New Roman" w:cs="Times New Roman"/>
      <w:sz w:val="20"/>
      <w:szCs w:val="20"/>
      <w:lang w:val="es-ES_tradnl"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CB24F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62228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TotalTime>
  <Pages>4</Pages>
  <Words>1003</Words>
  <Characters>5520</Characters>
  <Application>Microsoft Office Word</Application>
  <DocSecurity>0</DocSecurity>
  <Lines>46</Lines>
  <Paragraphs>13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6510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VELAYOS PASCUAL, CLARA</dc:creator>
  <cp:keywords/>
  <dc:description/>
  <cp:lastModifiedBy>Gilarranz Cristóbal, Mercedes</cp:lastModifiedBy>
  <cp:revision>6</cp:revision>
  <dcterms:created xsi:type="dcterms:W3CDTF">2021-09-27T06:27:00Z</dcterms:created>
  <dcterms:modified xsi:type="dcterms:W3CDTF">2021-09-27T11:34:00Z</dcterms:modified>
</cp:coreProperties>
</file>